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61848157"/>
        <w:docPartObj>
          <w:docPartGallery w:val="Cover Pages"/>
          <w:docPartUnique/>
        </w:docPartObj>
      </w:sdtPr>
      <w:sdtEndPr>
        <w:rPr>
          <w:rFonts w:asciiTheme="minorHAnsi" w:eastAsiaTheme="minorHAnsi" w:hAnsiTheme="minorHAnsi" w:cstheme="minorBidi"/>
          <w:sz w:val="22"/>
          <w:szCs w:val="22"/>
        </w:rPr>
      </w:sdtEndPr>
      <w:sdtContent>
        <w:p w14:paraId="184877E8" w14:textId="77777777" w:rsidR="00060677" w:rsidRDefault="00060677">
          <w:pPr>
            <w:pStyle w:val="NoSpacing"/>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inline distT="0" distB="0" distL="0" distR="0" wp14:anchorId="7069791B" wp14:editId="1957F2C7">
                <wp:extent cx="2247900" cy="1143000"/>
                <wp:effectExtent l="1905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 cstate="print"/>
                        <a:srcRect/>
                        <a:stretch>
                          <a:fillRect/>
                        </a:stretch>
                      </pic:blipFill>
                      <pic:spPr bwMode="auto">
                        <a:xfrm>
                          <a:off x="0" y="0"/>
                          <a:ext cx="2247900" cy="1143000"/>
                        </a:xfrm>
                        <a:prstGeom prst="rect">
                          <a:avLst/>
                        </a:prstGeom>
                        <a:noFill/>
                        <a:ln w="9525">
                          <a:noFill/>
                          <a:miter lim="800000"/>
                          <a:headEnd/>
                          <a:tailEnd/>
                        </a:ln>
                      </pic:spPr>
                    </pic:pic>
                  </a:graphicData>
                </a:graphic>
              </wp:inline>
            </w:drawing>
          </w:r>
        </w:p>
        <w:p w14:paraId="2F2CBA67" w14:textId="77777777" w:rsidR="00060677" w:rsidRDefault="00060677" w:rsidP="00060677">
          <w:pPr>
            <w:pStyle w:val="Default"/>
          </w:pPr>
        </w:p>
        <w:p w14:paraId="61F7C0F5" w14:textId="77777777" w:rsidR="00060677" w:rsidRDefault="00060677" w:rsidP="00060677">
          <w:pPr>
            <w:pStyle w:val="Default"/>
            <w:rPr>
              <w:rFonts w:cstheme="minorBidi"/>
              <w:color w:val="auto"/>
            </w:rPr>
          </w:pPr>
        </w:p>
        <w:p w14:paraId="2D141CDF" w14:textId="77777777" w:rsidR="00060677" w:rsidRPr="007F5CFF" w:rsidRDefault="00060677" w:rsidP="00052AC7">
          <w:pPr>
            <w:pStyle w:val="NoSpacing"/>
            <w:jc w:val="center"/>
            <w:rPr>
              <w:rFonts w:ascii="Times New Roman" w:eastAsiaTheme="majorEastAsia" w:hAnsi="Times New Roman" w:cs="Times New Roman"/>
              <w:b/>
              <w:sz w:val="48"/>
              <w:szCs w:val="48"/>
            </w:rPr>
          </w:pPr>
          <w:r w:rsidRPr="007F5CFF">
            <w:rPr>
              <w:rFonts w:ascii="Times New Roman" w:hAnsi="Times New Roman" w:cs="Times New Roman"/>
              <w:b/>
              <w:sz w:val="48"/>
              <w:szCs w:val="48"/>
            </w:rPr>
            <w:t>DoD Civilian Acquisition Workforce Personnel Demonstration Project</w:t>
          </w:r>
        </w:p>
        <w:p w14:paraId="77A452E0" w14:textId="77777777" w:rsidR="00060677" w:rsidRDefault="00060677">
          <w:pPr>
            <w:pStyle w:val="NoSpacing"/>
            <w:rPr>
              <w:rFonts w:asciiTheme="majorHAnsi" w:eastAsiaTheme="majorEastAsia" w:hAnsiTheme="majorHAnsi" w:cstheme="majorBidi"/>
              <w:sz w:val="72"/>
              <w:szCs w:val="72"/>
            </w:rPr>
          </w:pPr>
        </w:p>
        <w:p w14:paraId="760C6098" w14:textId="525139A0" w:rsidR="00DB1EFF" w:rsidRDefault="008848D1" w:rsidP="00D74C0D">
          <w:pPr>
            <w:pStyle w:val="NoSpacing"/>
            <w:jc w:val="center"/>
            <w:rPr>
              <w:rFonts w:asciiTheme="majorHAnsi" w:eastAsiaTheme="majorEastAsia" w:hAnsiTheme="majorHAnsi" w:cstheme="majorBidi"/>
              <w:sz w:val="72"/>
              <w:szCs w:val="72"/>
            </w:rPr>
          </w:pPr>
          <w:r w:rsidRPr="008848D1">
            <w:rPr>
              <w:rFonts w:asciiTheme="majorHAnsi" w:eastAsiaTheme="majorEastAsia" w:hAnsiTheme="majorHAnsi" w:cstheme="majorBidi"/>
              <w:noProof/>
              <w:sz w:val="72"/>
              <w:szCs w:val="72"/>
            </w:rPr>
            <w:drawing>
              <wp:inline distT="0" distB="0" distL="0" distR="0" wp14:anchorId="111C9687" wp14:editId="10C785FF">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r w:rsidR="003B100B">
            <w:rPr>
              <w:rFonts w:eastAsiaTheme="majorEastAsia" w:cstheme="majorBidi"/>
              <w:noProof/>
            </w:rPr>
            <mc:AlternateContent>
              <mc:Choice Requires="wps">
                <w:drawing>
                  <wp:anchor distT="0" distB="0" distL="114300" distR="114300" simplePos="0" relativeHeight="251660288" behindDoc="0" locked="0" layoutInCell="0" allowOverlap="1" wp14:anchorId="5E097A68" wp14:editId="3006CB24">
                    <wp:simplePos x="0" y="0"/>
                    <wp:positionH relativeFrom="page">
                      <wp:align>center</wp:align>
                    </wp:positionH>
                    <wp:positionV relativeFrom="page">
                      <wp:align>bottom</wp:align>
                    </wp:positionV>
                    <wp:extent cx="8138795" cy="642620"/>
                    <wp:effectExtent l="5715" t="8255" r="8890" b="63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642620"/>
                            </a:xfrm>
                            <a:prstGeom prst="rect">
                              <a:avLst/>
                            </a:prstGeom>
                            <a:solidFill>
                              <a:srgbClr val="4F448E"/>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75C152A" id="Rectangle 2" o:spid="_x0000_s1026" style="position:absolute;margin-left:0;margin-top:0;width:640.85pt;height:50.6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VfQQIAAHcEAAAOAAAAZHJzL2Uyb0RvYy54bWysVNuO0zAQfUfiHyy/0zQlvUVNV6vuFiEt&#10;sGLhA1zHaSx8Y+w2LV+/Y6ctLbwhXizbMzmec85MFncHrchegJfWVDQfDCkRhttamm1Fv39bv5tR&#10;4gMzNVPWiIoehad3y7dvFp0rxci2VtUCCIIYX3auom0Irswyz1uhmR9YJwwGGwuaBTzCNquBdYiu&#10;VTYaDidZZ6F2YLnwHm8f+iBdJvymETx8aRovAlEVxdpCWiGtm7hmywUrt8BcK/mpDPYPVWgmDT56&#10;gXpggZEdyL+gtORgvW3CgFud2aaRXCQOyCYf/sHmpWVOJC4ojncXmfz/g+Wf989AZI3e5ZQYptGj&#10;r6gaM1slyCjq0zlfYtqLe4bI0Lsny394YuyqxSxxD2C7VrAaq8pjfnbzQTx4/JRsuk+2RnS2CzZJ&#10;dWhAR0AUgRySI8eLI+IQCMfLWf5+Np2PKeEYmxSjyShZlrHy/LUDHz4Iq0ncVBSw9oTO9k8+xGpY&#10;eU5J1Vsl67VUKh1gu1kpIHuG3VGsi2L2mAggyes0ZUhX0fl4NE7IN7HUqOICwjgXJvR5aqeRcQ8+&#10;HQ+Hp2bDa2zJ/vpM5oKS6r15QMuAA6KkRjEQ44wSBX80dWrfwKTq90hWmZMDUfTevI2tj2gA2L77&#10;cVpx01r4RUmHnV9R/3PHQFCiPho0cZ4XRRyVdCjGU5ScwHVkcx1hhiNURQMl/XYV+vHaOZDbFl/K&#10;k2rG3qPxjUyexKboqzoVi92dqJ8mMY7P9Tll/f5fLF8BAAD//wMAUEsDBBQABgAIAAAAIQCPBUCN&#10;2wAAAAYBAAAPAAAAZHJzL2Rvd25yZXYueG1sTI9BT8MwDIXvSPyHyJO4sbRFwFSaThRpEtqNjQNH&#10;r/Gaao1Tkmwr/56MC7tYz3rWe5+r5WQHcSIfescK8nkGgrh1uudOwed2db8AESKyxsExKfihAMv6&#10;9qbCUrszf9BpEzuRQjiUqMDEOJZShtaQxTB3I3Hy9s5bjGn1ndQezyncDrLIsidpsefUYHCkN0Pt&#10;YXO0Ch5W6/f9d8NN9/i1JtpqbXwTlbqbTa8vICJN8f8YLvgJHerEtHNH1kEMCtIj8W9evGKRP4PY&#10;JZXlBci6ktf49S8AAAD//wMAUEsBAi0AFAAGAAgAAAAhALaDOJL+AAAA4QEAABMAAAAAAAAAAAAA&#10;AAAAAAAAAFtDb250ZW50X1R5cGVzXS54bWxQSwECLQAUAAYACAAAACEAOP0h/9YAAACUAQAACwAA&#10;AAAAAAAAAAAAAAAvAQAAX3JlbHMvLnJlbHNQSwECLQAUAAYACAAAACEAXWuVX0ECAAB3BAAADgAA&#10;AAAAAAAAAAAAAAAuAgAAZHJzL2Uyb0RvYy54bWxQSwECLQAUAAYACAAAACEAjwVAjdsAAAAGAQAA&#10;DwAAAAAAAAAAAAAAAACbBAAAZHJzL2Rvd25yZXYueG1sUEsFBgAAAAAEAAQA8wAAAKMFAAAAAA==&#10;" o:allowincell="f" fillcolor="#4f448e" strokecolor="#31849b [2408]">
                    <w10:wrap anchorx="page" anchory="page"/>
                  </v:rect>
                </w:pict>
              </mc:Fallback>
            </mc:AlternateContent>
          </w:r>
          <w:r w:rsidR="003B100B">
            <w:rPr>
              <w:rFonts w:eastAsiaTheme="majorEastAsia" w:cstheme="majorBidi"/>
              <w:noProof/>
            </w:rPr>
            <mc:AlternateContent>
              <mc:Choice Requires="wps">
                <w:drawing>
                  <wp:anchor distT="0" distB="0" distL="114300" distR="114300" simplePos="0" relativeHeight="251663360" behindDoc="0" locked="0" layoutInCell="0" allowOverlap="1" wp14:anchorId="0ACB7C07" wp14:editId="3B61CF3E">
                    <wp:simplePos x="0" y="0"/>
                    <wp:positionH relativeFrom="leftMargin">
                      <wp:align>center</wp:align>
                    </wp:positionH>
                    <wp:positionV relativeFrom="page">
                      <wp:align>center</wp:align>
                    </wp:positionV>
                    <wp:extent cx="90805" cy="10539095"/>
                    <wp:effectExtent l="9525" t="5715" r="13970" b="889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w14:anchorId="0A54B942" id="Rectangle 5" o:spid="_x0000_s1026" style="position:absolute;margin-left:0;margin-top:0;width:7.15pt;height:829.8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lRQQIAAK4EAAAOAAAAZHJzL2Uyb0RvYy54bWysVNuO0zAQfUfiHyy/0ySlYduo6WrVZRHS&#10;AisWPsB1nMbC9hjbbVq+nrHdLV14W9GHyHPx8Zk5M11eH7Qie+G8BNPSalJSIgyHTpptS79/u3sz&#10;p8QHZjqmwIiWHoWn16vXr5ajbcQUBlCdcARBjG9G29IhBNsUheeD0MxPwAqDwR6cZgFNty06x0ZE&#10;16qYluW7YgTXWQdceI/e2xykq4Tf94KHL33vRSCqpcgtpK9L3038Fqsla7aO2UHyEw32AhaaSYOP&#10;nqFuWWBk5+Q/UFpyBx76MOGgC+h7yUWqAaupyr+qeRyYFakWbI635zb5/wfLP+8fHJEdaoftMUyj&#10;Rl+xa8xslSB17M9ofYNpj/bBxQq9vQf+wxMD6wGzxI1zMA6CdciqivnFswvR8HiVbMZP0CE62wVI&#10;rTr0TkdAbAI5JEWOZ0XEIRCOzkU5L2tKOEaqsn67KBeJUsGap9vW+fBBgCbx0FKH3BM629/7ENmw&#10;5iklsQcluzupVDLilIm1cmTPcD422ypdVTuNVLOvKuMvjwn6cZiyP7kQOw1qhEgv+Ut0ZciIFdTT&#10;OqE+i52vZTTGuTAh512+flW/9HEtA+6Vkrql84sSok7vTZemPjCp8hnrUOYkXNQqa76B7oi6OchL&#10;g0uOhwHcL0pGXJiW+p875gQl6qNB7RfVbBY3LBmz+mqKhruMbC4jzHCEammgJB/XIW/lzjq5HfCl&#10;rIWBG5yXXiYp4yxlVieyuBSp76cFjlt3aaesP38zq98AAAD//wMAUEsDBBQABgAIAAAAIQBl9oox&#10;4AAAAAUBAAAPAAAAZHJzL2Rvd25yZXYueG1sTI9PS8NAEMXvgt9hGcGL2I1aq8ZsimjFP9CDraC9&#10;TbPTJJidDdltm/rpnXrRyzyGN7z3m2zcu0ZtqAu1ZwNngwQUceFtzaWB9/nj6TWoEJEtNp7JwI4C&#10;jPPDgwxT67f8RptZLJWEcEjRQBVjm2odioochoFvicVb+c5hlLUrte1wK+Gu0edJMtIOa5aGClu6&#10;r6j4mq2dge/VQ/kymX4shu7z+XU+XdDTbnJizPFRf3cLKlIf/45hjy/okAvT0q/ZBtUYkEfi79x7&#10;wwtQS9HR5c0V6DzT/+nzHwAAAP//AwBQSwECLQAUAAYACAAAACEAtoM4kv4AAADhAQAAEwAAAAAA&#10;AAAAAAAAAAAAAAAAW0NvbnRlbnRfVHlwZXNdLnhtbFBLAQItABQABgAIAAAAIQA4/SH/1gAAAJQB&#10;AAALAAAAAAAAAAAAAAAAAC8BAABfcmVscy8ucmVsc1BLAQItABQABgAIAAAAIQDbotlRQQIAAK4E&#10;AAAOAAAAAAAAAAAAAAAAAC4CAABkcnMvZTJvRG9jLnhtbFBLAQItABQABgAIAAAAIQBl9oox4AAA&#10;AAUBAAAPAAAAAAAAAAAAAAAAAJsEAABkcnMvZG93bnJldi54bWxQSwUGAAAAAAQABADzAAAAqAUA&#10;AAAA&#10;" o:allowincell="f" fillcolor="white [3212]" strokecolor="#31849b [2408]">
                    <w10:wrap anchorx="margin" anchory="page"/>
                  </v:rect>
                </w:pict>
              </mc:Fallback>
            </mc:AlternateContent>
          </w:r>
          <w:r w:rsidR="003B100B">
            <w:rPr>
              <w:rFonts w:eastAsiaTheme="majorEastAsia" w:cstheme="majorBidi"/>
              <w:noProof/>
            </w:rPr>
            <mc:AlternateContent>
              <mc:Choice Requires="wps">
                <w:drawing>
                  <wp:anchor distT="0" distB="0" distL="114300" distR="114300" simplePos="0" relativeHeight="251662336" behindDoc="0" locked="0" layoutInCell="0" allowOverlap="1" wp14:anchorId="325847EE" wp14:editId="7FCC3718">
                    <wp:simplePos x="0" y="0"/>
                    <wp:positionH relativeFrom="rightMargin">
                      <wp:align>center</wp:align>
                    </wp:positionH>
                    <wp:positionV relativeFrom="page">
                      <wp:align>center</wp:align>
                    </wp:positionV>
                    <wp:extent cx="90805" cy="10539095"/>
                    <wp:effectExtent l="9525" t="5715" r="13970" b="889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w14:anchorId="59A6A46E" id="Rectangle 4" o:spid="_x0000_s1026" style="position:absolute;margin-left:0;margin-top:0;width:7.15pt;height:829.8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jVQAIAAK0EAAAOAAAAZHJzL2Uyb0RvYy54bWysVNuO0zAQfUfiHyy/0ySlYduo6WrVZRHS&#10;AisWPmDqOI2Fb9hu0/L1jO1u6cLbijxYnovPXM5MltcHJcmeOy+Mbmk1KSnhmplO6G1Lv3+7ezOn&#10;xAfQHUijeUuP3NPr1etXy9E2fGoGIzvuCIJo34y2pUMItikKzwauwE+M5RqNvXEKAopuW3QORkRX&#10;spiW5btiNK6zzjDuPWpvs5GuEn7fcxa+9L3ngciWYm4hnS6dm3gWqyU0Wwd2EOyUBrwgCwVCY9Az&#10;1C0EIDsn/oFSgjnjTR8mzKjC9L1gPNWA1VTlX9U8DmB5qgWb4+25Tf7/wbLP+wdHRNfSBSUaFFL0&#10;FZsGeis5mcX2jNY36PVoH1ws0Nt7w354os16QC9+45wZBw4dJlVF/+LZgyh4fEo24yfTITrsgkmd&#10;OvRORUDsATkkQo5nQvghEIbKRTkva0oYWqqyfrsoF3UKAc3Ta+t8+MCNIvHSUoe5J3TY3/sQs4Hm&#10;ySVlb6To7oSUSYhDxtfSkT3geGy2VXoqdwpTzbqqjF+eEtTjLGV9UiF2mtMIkSL5S3SpyYgV1NM6&#10;oT6znZ9lNGCM65D9LqNf1S8NrkTAtZJCtXR+UULk6b3u0tAHEDLfsQ6pT8RFrjLnG9MdkTdn8s7g&#10;juNlMO4XJSPuS0v9zx04Ton8qJH7RTWbxQVLwqy+mqLgLi2bSwtohlAtDZTk6zrkpdxZJ7YDRspc&#10;aHOD89KLRGWcpZzVKVncidT30/7GpbuUk9efv8zqNwAAAP//AwBQSwMEFAAGAAgAAAAhAGX2ijHg&#10;AAAABQEAAA8AAABkcnMvZG93bnJldi54bWxMj09Lw0AQxe+C32EZwYvYjVqrxmyKaMU/0IOtoL1N&#10;s9MkmJ0N2W2b+umdetHLPIY3vPebbNy7Rm2oC7VnA2eDBBRx4W3NpYH3+ePpNagQkS02nsnAjgKM&#10;88ODDFPrt/xGm1kslYRwSNFAFWObah2KihyGgW+JxVv5zmGUtSu17XAr4a7R50ky0g5rloYKW7qv&#10;qPiarZ2B79VD+TKZfiyG7vP5dT5d0NNucmLM8VF/dwsqUh//jmGPL+iQC9PSr9kG1RiQR+Lv3HvD&#10;C1BL0dHlzRXoPNP/6fMfAAAA//8DAFBLAQItABQABgAIAAAAIQC2gziS/gAAAOEBAAATAAAAAAAA&#10;AAAAAAAAAAAAAABbQ29udGVudF9UeXBlc10ueG1sUEsBAi0AFAAGAAgAAAAhADj9If/WAAAAlAEA&#10;AAsAAAAAAAAAAAAAAAAALwEAAF9yZWxzLy5yZWxzUEsBAi0AFAAGAAgAAAAhAJJOONVAAgAArQQA&#10;AA4AAAAAAAAAAAAAAAAALgIAAGRycy9lMm9Eb2MueG1sUEsBAi0AFAAGAAgAAAAhAGX2ijHgAAAA&#10;BQEAAA8AAAAAAAAAAAAAAAAAmgQAAGRycy9kb3ducmV2LnhtbFBLBQYAAAAABAAEAPMAAACnBQAA&#10;AAA=&#10;" o:allowincell="f" fillcolor="white [3212]" strokecolor="#31849b [2408]">
                    <w10:wrap anchorx="margin" anchory="page"/>
                  </v:rect>
                </w:pict>
              </mc:Fallback>
            </mc:AlternateContent>
          </w:r>
          <w:r w:rsidR="003B100B">
            <w:rPr>
              <w:rFonts w:eastAsiaTheme="majorEastAsia" w:cstheme="majorBidi"/>
              <w:noProof/>
            </w:rPr>
            <mc:AlternateContent>
              <mc:Choice Requires="wps">
                <w:drawing>
                  <wp:anchor distT="0" distB="0" distL="114300" distR="114300" simplePos="0" relativeHeight="251661312" behindDoc="0" locked="0" layoutInCell="0" allowOverlap="1" wp14:anchorId="586A986A" wp14:editId="0C660EBA">
                    <wp:simplePos x="0" y="0"/>
                    <wp:positionH relativeFrom="page">
                      <wp:align>center</wp:align>
                    </wp:positionH>
                    <wp:positionV relativeFrom="topMargin">
                      <wp:align>top</wp:align>
                    </wp:positionV>
                    <wp:extent cx="8107680" cy="589280"/>
                    <wp:effectExtent l="24765" t="19050" r="40005" b="4889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7680" cy="589280"/>
                            </a:xfrm>
                            <a:prstGeom prst="rect">
                              <a:avLst/>
                            </a:prstGeom>
                            <a:solidFill>
                              <a:srgbClr val="4F448E"/>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w14:anchorId="3F1911B0" id="Rectangle 3" o:spid="_x0000_s1026" style="position:absolute;margin-left:0;margin-top:0;width:638.4pt;height:46.4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CvlgIAAEkFAAAOAAAAZHJzL2Uyb0RvYy54bWysVN9v2yAQfp+0/wHxvtpJ3Nax6lRVf0yT&#10;uq1aNu35AthGw8CAxOn++h04SZNVe5n2gjju+Ljv7juurre9IhvhvDS6ppOznBKhmeFStzX99vXh&#10;XUmJD6A5KKNFTZ+Fp9eLt2+uBluJqemM4sIRBNG+GmxNuxBslWWedaIHf2as0OhsjOshoOnajDsY&#10;EL1X2TTPL7LBOG6dYcJ7PL0bnXSR8JtGsPC5abwIRNUUcwtpdWldxTVbXEHVOrCdZLs04B+y6EFq&#10;fPQAdQcByNrJV1C9ZM5404QzZvrMNI1kInFANpP8DzbLDqxIXLA43h7K5P8fLPu0eXJE8ppiozT0&#10;2KIvWDTQrRJkFsszWF9h1NI+uUjQ20fDfniizW2HUeLGOTN0AjgmNYnx2cmFaHi8SlbDR8MRHdbB&#10;pEptG9dHQKwB2aaGPB8aIraBMDwsJ/nlRYl9Y+g7L+dT3McnoNrfts6H98L0JG5q6jD3hA6bRx/G&#10;0H1Iyt4oyR+kUslw7epWObIBFEfxUBTl/Q7dH4cpTYaazjCXPEGfOJNQxQFFhUmKUese6Y7I8/Mc&#10;b2IuUOExynE83jM5ICReJ+C9DDgcSvZYCcTYo8Rq32ueEANINe6xKErHR0SSPdKPhlkjxLLjA+Ey&#10;FmhazubYaS5xBmZlfpHPLykB1eLwsuAocSZ8l6FLyovtSHWKw/jCERgTOhSveEaaf+MJFSjbwcj8&#10;EIgpn7I/ZJtqcUQkiSrqaNTjyvBn1BQmm4SD/w9uOuN+UTLgLNfU/1yDE5SoDxp1OZ8URRz+ZBTn&#10;l1M03LFndewBzRCqpgELk7a3Yfww1tbJtsOXxh5rc4NabmSSWdT5mNVuAnBeE4nd3xI/hGM7Rb38&#10;gIvfAAAA//8DAFBLAwQUAAYACAAAACEAk3+mS9gAAAAFAQAADwAAAGRycy9kb3ducmV2LnhtbEyP&#10;QU+DQBCF7yb+h82YeLOLHLBFhsY08ejBSkyPAzsFIjtL2KXgv3frRS8vmbzJe98r9qsd1IUn3ztB&#10;eNwkoFgaZ3ppEaqP14ctKB9IDA1OGOGbPezL25uCcuMWeefLMbQqhojPCaELYcy19k3HlvzGjSzR&#10;O7vJUojn1Goz0RLD7aDTJMm0pV5iQ0cjHzpuvo6zRTinfvmcq2Y9ER+ybNnxW13NiPd368szqMBr&#10;+HuGK35EhzIy1W4W49WAEIeEX7166VMWd9QIu3QLuiz0f/ryBwAA//8DAFBLAQItABQABgAIAAAA&#10;IQC2gziS/gAAAOEBAAATAAAAAAAAAAAAAAAAAAAAAABbQ29udGVudF9UeXBlc10ueG1sUEsBAi0A&#10;FAAGAAgAAAAhADj9If/WAAAAlAEAAAsAAAAAAAAAAAAAAAAALwEAAF9yZWxzLy5yZWxzUEsBAi0A&#10;FAAGAAgAAAAhAE8fEK+WAgAASQUAAA4AAAAAAAAAAAAAAAAALgIAAGRycy9lMm9Eb2MueG1sUEsB&#10;Ai0AFAAGAAgAAAAhAJN/pkvYAAAABQEAAA8AAAAAAAAAAAAAAAAA8AQAAGRycy9kb3ducmV2Lnht&#10;bFBLBQYAAAAABAAEAPMAAAD1BQAAAAA=&#10;" o:allowincell="f" fillcolor="#4f448e" strokecolor="#f2f2f2 [3041]" strokeweight="3pt">
                    <v:shadow on="t" color="#3f3151 [1607]" opacity=".5" offset="1pt"/>
                    <w10:wrap anchorx="page" anchory="margin"/>
                  </v:rect>
                </w:pict>
              </mc:Fallback>
            </mc:AlternateContent>
          </w:r>
        </w:p>
        <w:p w14:paraId="53E2A5EC" w14:textId="77777777" w:rsidR="00DB1EFF" w:rsidRDefault="00DB1EFF" w:rsidP="00060677">
          <w:pPr>
            <w:pStyle w:val="NoSpacing"/>
            <w:jc w:val="center"/>
          </w:pPr>
        </w:p>
        <w:p w14:paraId="39042E92" w14:textId="77777777" w:rsidR="00DB1EFF" w:rsidRDefault="00DB1EFF">
          <w:pPr>
            <w:pStyle w:val="NoSpacing"/>
          </w:pPr>
        </w:p>
        <w:p w14:paraId="707B56BA" w14:textId="77777777" w:rsidR="00DB1EFF" w:rsidRDefault="00DB1EFF"/>
        <w:p w14:paraId="46BB068B" w14:textId="77777777" w:rsidR="00DB1EFF" w:rsidRDefault="003B100B">
          <w:r>
            <w:rPr>
              <w:rFonts w:asciiTheme="majorHAnsi" w:eastAsiaTheme="majorEastAsia" w:hAnsiTheme="majorHAnsi" w:cstheme="majorBidi"/>
              <w:noProof/>
              <w:sz w:val="72"/>
              <w:szCs w:val="72"/>
            </w:rPr>
            <mc:AlternateContent>
              <mc:Choice Requires="wps">
                <w:drawing>
                  <wp:anchor distT="0" distB="0" distL="114300" distR="114300" simplePos="0" relativeHeight="251666432" behindDoc="0" locked="0" layoutInCell="1" allowOverlap="1" wp14:anchorId="5559D0B6" wp14:editId="71A8BC3E">
                    <wp:simplePos x="0" y="0"/>
                    <wp:positionH relativeFrom="column">
                      <wp:posOffset>-4983480</wp:posOffset>
                    </wp:positionH>
                    <wp:positionV relativeFrom="paragraph">
                      <wp:posOffset>457835</wp:posOffset>
                    </wp:positionV>
                    <wp:extent cx="4629150" cy="2286000"/>
                    <wp:effectExtent l="0" t="0" r="190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66FE" w14:textId="77777777" w:rsidR="007A3E59" w:rsidRPr="007F5CFF" w:rsidRDefault="007A3E59" w:rsidP="00052AC7">
                                <w:pPr>
                                  <w:jc w:val="center"/>
                                  <w:rPr>
                                    <w:rFonts w:ascii="Times New Roman" w:hAnsi="Times New Roman" w:cs="Times New Roman"/>
                                    <w:b/>
                                    <w:sz w:val="56"/>
                                    <w:szCs w:val="56"/>
                                  </w:rPr>
                                </w:pPr>
                                <w:r w:rsidRPr="007F5CFF">
                                  <w:rPr>
                                    <w:rFonts w:ascii="Times New Roman" w:hAnsi="Times New Roman" w:cs="Times New Roman"/>
                                    <w:b/>
                                    <w:sz w:val="56"/>
                                    <w:szCs w:val="56"/>
                                  </w:rPr>
                                  <w:t>Employee Orientation Course</w:t>
                                </w:r>
                              </w:p>
                              <w:p w14:paraId="57CD0D2B" w14:textId="77777777" w:rsidR="007A3E59" w:rsidRPr="007F5CFF" w:rsidRDefault="007A3E59" w:rsidP="00052AC7">
                                <w:pPr>
                                  <w:jc w:val="center"/>
                                  <w:rPr>
                                    <w:rFonts w:ascii="Times New Roman" w:hAnsi="Times New Roman" w:cs="Times New Roman"/>
                                    <w:b/>
                                    <w:sz w:val="56"/>
                                    <w:szCs w:val="56"/>
                                  </w:rPr>
                                </w:pPr>
                                <w:r w:rsidRPr="007F5CFF">
                                  <w:rPr>
                                    <w:rFonts w:ascii="Times New Roman" w:hAnsi="Times New Roman" w:cs="Times New Roman"/>
                                    <w:b/>
                                    <w:sz w:val="56"/>
                                    <w:szCs w:val="56"/>
                                  </w:rPr>
                                  <w:t>2010 - 2011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9D0B6" id="_x0000_t202" coordsize="21600,21600" o:spt="202" path="m,l,21600r21600,l21600,xe">
                    <v:stroke joinstyle="miter"/>
                    <v:path gradientshapeok="t" o:connecttype="rect"/>
                  </v:shapetype>
                  <v:shape id="Text Box 7" o:spid="_x0000_s1026" type="#_x0000_t202" style="position:absolute;margin-left:-392.4pt;margin-top:36.05pt;width:364.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NSuAIAALoFAAAOAAAAZHJzL2Uyb0RvYy54bWysVNtunDAQfa/Uf7D8TrjUywIKGyXLUlVK&#10;L1LSD/CCWayCTW3vsmnUf+/Y7C3pS9WWB2R7xmcu53iub/Z9h3ZMaS5FjsOrACMmKllzscnx18fS&#10;SzDShoqadlKwHD8xjW8Wb99cj0PGItnKrmYKAYjQ2TjkuDVmyHxfVy3rqb6SAxNgbKTqqYGt2vi1&#10;oiOg950fBUHsj1LVg5IV0xpOi8mIFw6/aVhlPjeNZgZ1OYbcjPsr91/bv7+4ptlG0aHl1SEN+hdZ&#10;9JQLCHqCKqihaKv4b1A9r5TUsjFXlex92TS8Yq4GqCYMXlXz0NKBuVqgOXo4tUn/P9jq0+6LQrzO&#10;8RwjQXug6JHtDbqTezS33RkHnYHTwwBuZg/HwLKrVA/3svqmkZDLlooNu1VKji2jNWQX2pv+xdUJ&#10;R1uQ9fhR1hCGbo10QPtG9bZ10AwE6MDS04kZm0oFhySO0nAGpgpsUZTEQeC482l2vD4obd4z2SO7&#10;yLEC6h083d1rY9Oh2dHFRhOy5F3n6O/EiwNwnE4gOFy1NpuGY/M5DdJVskqIR6J45ZGgKLzbckm8&#10;uAzns+JdsVwW4U8bNyRZy+uaCRvmqKyQ/BlzB41PmjhpS8uO1xbOpqTVZr3sFNpRUHbpPtd0sJzd&#10;/JdpuCZALa9KCiMS3EWpV8bJ3CMlmXnpPEi8IEzv0jggKSnKlyXdc8H+vSQ05jidRbNJTeekX9UG&#10;TJ/JvqiNZj03MDs63uc4OTnRzGpwJWpHraG8m9YXrbDpn1sBdB+Jdoq1Ip3kavbrPaBYGa9l/QTa&#10;VRKUBSqEgQeLVqofGI0wPHKsv2+pYhh1HwToPw0JsdPGbchsHsFGXVrWlxYqKoDKscFoWi7NNKG2&#10;g+KbFiJNL07IW3gzDXdqPmd1eGkwIFxRh2FmJ9Dl3nmdR+7iFwAAAP//AwBQSwMEFAAGAAgAAAAh&#10;AJHz9TDeAAAACwEAAA8AAABkcnMvZG93bnJldi54bWxMj01Pg0AQhu8m/ofNmHiju61gKzI0RuNV&#10;Y/1IvG1hCkR2lrDbgv/e8aTH9yPvPFNsZ9erE42h84ywXBhQxJWvO24Q3l4fkw2oEC3XtvdMCN8U&#10;YFuenxU2r/3EL3TaxUbJCIfcIrQxDrnWoWrJ2bDwA7FkBz86G0WOja5HO8m46/XKmGvtbMdyobUD&#10;3bdUfe2ODuH96fD5kZrn5sFlw+Rno9ndaMTLi/nuFlSkOf6V4Rdf0KEUpr0/ch1Uj5CsN6mwR4T1&#10;aglKGkmWibFHSK/E0WWh//9Q/gAAAP//AwBQSwECLQAUAAYACAAAACEAtoM4kv4AAADhAQAAEwAA&#10;AAAAAAAAAAAAAAAAAAAAW0NvbnRlbnRfVHlwZXNdLnhtbFBLAQItABQABgAIAAAAIQA4/SH/1gAA&#10;AJQBAAALAAAAAAAAAAAAAAAAAC8BAABfcmVscy8ucmVsc1BLAQItABQABgAIAAAAIQDid8NSuAIA&#10;ALoFAAAOAAAAAAAAAAAAAAAAAC4CAABkcnMvZTJvRG9jLnhtbFBLAQItABQABgAIAAAAIQCR8/Uw&#10;3gAAAAsBAAAPAAAAAAAAAAAAAAAAABIFAABkcnMvZG93bnJldi54bWxQSwUGAAAAAAQABADzAAAA&#10;HQYAAAAA&#10;" filled="f" stroked="f">
                    <v:textbox>
                      <w:txbxContent>
                        <w:p w14:paraId="4B8566FE" w14:textId="77777777" w:rsidR="007A3E59" w:rsidRPr="007F5CFF" w:rsidRDefault="007A3E59" w:rsidP="00052AC7">
                          <w:pPr>
                            <w:jc w:val="center"/>
                            <w:rPr>
                              <w:rFonts w:ascii="Times New Roman" w:hAnsi="Times New Roman" w:cs="Times New Roman"/>
                              <w:b/>
                              <w:sz w:val="56"/>
                              <w:szCs w:val="56"/>
                            </w:rPr>
                          </w:pPr>
                          <w:r w:rsidRPr="007F5CFF">
                            <w:rPr>
                              <w:rFonts w:ascii="Times New Roman" w:hAnsi="Times New Roman" w:cs="Times New Roman"/>
                              <w:b/>
                              <w:sz w:val="56"/>
                              <w:szCs w:val="56"/>
                            </w:rPr>
                            <w:t>Employee Orientation Course</w:t>
                          </w:r>
                        </w:p>
                        <w:p w14:paraId="57CD0D2B" w14:textId="77777777" w:rsidR="007A3E59" w:rsidRPr="007F5CFF" w:rsidRDefault="007A3E59" w:rsidP="00052AC7">
                          <w:pPr>
                            <w:jc w:val="center"/>
                            <w:rPr>
                              <w:rFonts w:ascii="Times New Roman" w:hAnsi="Times New Roman" w:cs="Times New Roman"/>
                              <w:b/>
                              <w:sz w:val="56"/>
                              <w:szCs w:val="56"/>
                            </w:rPr>
                          </w:pPr>
                          <w:r w:rsidRPr="007F5CFF">
                            <w:rPr>
                              <w:rFonts w:ascii="Times New Roman" w:hAnsi="Times New Roman" w:cs="Times New Roman"/>
                              <w:b/>
                              <w:sz w:val="56"/>
                              <w:szCs w:val="56"/>
                            </w:rPr>
                            <w:t>2010 - 2011</w:t>
                          </w:r>
                        </w:p>
                      </w:txbxContent>
                    </v:textbox>
                  </v:shape>
                </w:pict>
              </mc:Fallback>
            </mc:AlternateContent>
          </w:r>
          <w:r w:rsidR="00DB1EFF">
            <w:br w:type="page"/>
          </w:r>
        </w:p>
      </w:sdtContent>
    </w:sdt>
    <w:sdt>
      <w:sdtPr>
        <w:rPr>
          <w:rFonts w:asciiTheme="minorHAnsi" w:eastAsiaTheme="minorHAnsi" w:hAnsiTheme="minorHAnsi" w:cstheme="minorBidi"/>
          <w:b w:val="0"/>
          <w:bCs w:val="0"/>
          <w:color w:val="auto"/>
          <w:sz w:val="22"/>
          <w:szCs w:val="22"/>
        </w:rPr>
        <w:id w:val="61848358"/>
        <w:docPartObj>
          <w:docPartGallery w:val="Table of Contents"/>
          <w:docPartUnique/>
        </w:docPartObj>
      </w:sdtPr>
      <w:sdtContent>
        <w:p w14:paraId="0FF6EEC5" w14:textId="77777777" w:rsidR="0049604B" w:rsidRDefault="0049604B">
          <w:pPr>
            <w:pStyle w:val="TOCHeading"/>
            <w:rPr>
              <w:rFonts w:asciiTheme="minorHAnsi" w:eastAsiaTheme="minorHAnsi" w:hAnsiTheme="minorHAnsi" w:cstheme="minorBidi"/>
              <w:b w:val="0"/>
              <w:bCs w:val="0"/>
              <w:color w:val="auto"/>
              <w:sz w:val="22"/>
              <w:szCs w:val="22"/>
            </w:rPr>
          </w:pPr>
        </w:p>
        <w:p w14:paraId="0F32C11A" w14:textId="77777777" w:rsidR="0049604B" w:rsidRDefault="0049604B" w:rsidP="0049604B">
          <w:r>
            <w:br w:type="page"/>
          </w:r>
        </w:p>
        <w:p w14:paraId="2926CB81" w14:textId="77777777" w:rsidR="007F5CFF" w:rsidRDefault="007F5CFF">
          <w:pPr>
            <w:pStyle w:val="TOCHeading"/>
          </w:pPr>
          <w:r>
            <w:lastRenderedPageBreak/>
            <w:t>Table of Contents</w:t>
          </w:r>
        </w:p>
        <w:p w14:paraId="5059CB29" w14:textId="77777777" w:rsidR="009D5132" w:rsidRDefault="009D5132">
          <w:pPr>
            <w:pStyle w:val="TOC1"/>
            <w:tabs>
              <w:tab w:val="right" w:leader="dot" w:pos="9350"/>
            </w:tabs>
          </w:pPr>
        </w:p>
        <w:p w14:paraId="64EDC3A3" w14:textId="273D1A9E" w:rsidR="00860AD6" w:rsidRDefault="00E27BD6">
          <w:pPr>
            <w:pStyle w:val="TOC1"/>
            <w:tabs>
              <w:tab w:val="right" w:leader="dot" w:pos="9350"/>
            </w:tabs>
            <w:rPr>
              <w:rFonts w:eastAsiaTheme="minorEastAsia"/>
              <w:noProof/>
            </w:rPr>
          </w:pPr>
          <w:r>
            <w:fldChar w:fldCharType="begin"/>
          </w:r>
          <w:r w:rsidR="007F5CFF">
            <w:instrText xml:space="preserve"> TOC \o "1-3" \h \z \u </w:instrText>
          </w:r>
          <w:r>
            <w:fldChar w:fldCharType="separate"/>
          </w:r>
          <w:bookmarkStart w:id="0" w:name="_GoBack"/>
          <w:bookmarkEnd w:id="0"/>
          <w:r w:rsidR="00860AD6" w:rsidRPr="00CD5FBD">
            <w:rPr>
              <w:rStyle w:val="Hyperlink"/>
              <w:noProof/>
            </w:rPr>
            <w:fldChar w:fldCharType="begin"/>
          </w:r>
          <w:r w:rsidR="00860AD6" w:rsidRPr="00CD5FBD">
            <w:rPr>
              <w:rStyle w:val="Hyperlink"/>
              <w:noProof/>
            </w:rPr>
            <w:instrText xml:space="preserve"> </w:instrText>
          </w:r>
          <w:r w:rsidR="00860AD6">
            <w:rPr>
              <w:noProof/>
            </w:rPr>
            <w:instrText>HYPERLINK \l "_Toc510512458"</w:instrText>
          </w:r>
          <w:r w:rsidR="00860AD6" w:rsidRPr="00CD5FBD">
            <w:rPr>
              <w:rStyle w:val="Hyperlink"/>
              <w:noProof/>
            </w:rPr>
            <w:instrText xml:space="preserve"> </w:instrText>
          </w:r>
          <w:r w:rsidR="00860AD6" w:rsidRPr="00CD5FBD">
            <w:rPr>
              <w:rStyle w:val="Hyperlink"/>
              <w:noProof/>
            </w:rPr>
          </w:r>
          <w:r w:rsidR="00860AD6" w:rsidRPr="00CD5FBD">
            <w:rPr>
              <w:rStyle w:val="Hyperlink"/>
              <w:noProof/>
            </w:rPr>
            <w:fldChar w:fldCharType="separate"/>
          </w:r>
          <w:r w:rsidR="00860AD6" w:rsidRPr="00CD5FBD">
            <w:rPr>
              <w:rStyle w:val="Hyperlink"/>
              <w:noProof/>
            </w:rPr>
            <w:t>Chapter 1:  AcqDemo Conversion Highlights</w:t>
          </w:r>
          <w:r w:rsidR="00860AD6">
            <w:rPr>
              <w:noProof/>
              <w:webHidden/>
            </w:rPr>
            <w:tab/>
          </w:r>
          <w:r w:rsidR="00860AD6">
            <w:rPr>
              <w:noProof/>
              <w:webHidden/>
            </w:rPr>
            <w:fldChar w:fldCharType="begin"/>
          </w:r>
          <w:r w:rsidR="00860AD6">
            <w:rPr>
              <w:noProof/>
              <w:webHidden/>
            </w:rPr>
            <w:instrText xml:space="preserve"> PAGEREF _Toc510512458 \h </w:instrText>
          </w:r>
          <w:r w:rsidR="00860AD6">
            <w:rPr>
              <w:noProof/>
              <w:webHidden/>
            </w:rPr>
          </w:r>
          <w:r w:rsidR="00860AD6">
            <w:rPr>
              <w:noProof/>
              <w:webHidden/>
            </w:rPr>
            <w:fldChar w:fldCharType="separate"/>
          </w:r>
          <w:r w:rsidR="00860AD6">
            <w:rPr>
              <w:noProof/>
              <w:webHidden/>
            </w:rPr>
            <w:t>6</w:t>
          </w:r>
          <w:r w:rsidR="00860AD6">
            <w:rPr>
              <w:noProof/>
              <w:webHidden/>
            </w:rPr>
            <w:fldChar w:fldCharType="end"/>
          </w:r>
          <w:r w:rsidR="00860AD6" w:rsidRPr="00CD5FBD">
            <w:rPr>
              <w:rStyle w:val="Hyperlink"/>
              <w:noProof/>
            </w:rPr>
            <w:fldChar w:fldCharType="end"/>
          </w:r>
        </w:p>
        <w:p w14:paraId="107732E3" w14:textId="59813426" w:rsidR="00860AD6" w:rsidRDefault="00860AD6">
          <w:pPr>
            <w:pStyle w:val="TOC2"/>
            <w:tabs>
              <w:tab w:val="right" w:leader="dot" w:pos="9350"/>
            </w:tabs>
            <w:rPr>
              <w:rFonts w:eastAsiaTheme="minorEastAsia"/>
              <w:noProof/>
            </w:rPr>
          </w:pPr>
          <w:hyperlink w:anchor="_Toc510512459" w:history="1">
            <w:r w:rsidRPr="00CD5FBD">
              <w:rPr>
                <w:rStyle w:val="Hyperlink"/>
                <w:noProof/>
              </w:rPr>
              <w:t>AcqDemo Purpose</w:t>
            </w:r>
            <w:r>
              <w:rPr>
                <w:noProof/>
                <w:webHidden/>
              </w:rPr>
              <w:tab/>
            </w:r>
            <w:r>
              <w:rPr>
                <w:noProof/>
                <w:webHidden/>
              </w:rPr>
              <w:fldChar w:fldCharType="begin"/>
            </w:r>
            <w:r>
              <w:rPr>
                <w:noProof/>
                <w:webHidden/>
              </w:rPr>
              <w:instrText xml:space="preserve"> PAGEREF _Toc510512459 \h </w:instrText>
            </w:r>
            <w:r>
              <w:rPr>
                <w:noProof/>
                <w:webHidden/>
              </w:rPr>
            </w:r>
            <w:r>
              <w:rPr>
                <w:noProof/>
                <w:webHidden/>
              </w:rPr>
              <w:fldChar w:fldCharType="separate"/>
            </w:r>
            <w:r>
              <w:rPr>
                <w:noProof/>
                <w:webHidden/>
              </w:rPr>
              <w:t>6</w:t>
            </w:r>
            <w:r>
              <w:rPr>
                <w:noProof/>
                <w:webHidden/>
              </w:rPr>
              <w:fldChar w:fldCharType="end"/>
            </w:r>
          </w:hyperlink>
        </w:p>
        <w:p w14:paraId="47E7ECCE" w14:textId="51414612" w:rsidR="00860AD6" w:rsidRDefault="00860AD6">
          <w:pPr>
            <w:pStyle w:val="TOC2"/>
            <w:tabs>
              <w:tab w:val="right" w:leader="dot" w:pos="9350"/>
            </w:tabs>
            <w:rPr>
              <w:rFonts w:eastAsiaTheme="minorEastAsia"/>
              <w:noProof/>
            </w:rPr>
          </w:pPr>
          <w:hyperlink w:anchor="_Toc510512460" w:history="1">
            <w:r w:rsidRPr="00CD5FBD">
              <w:rPr>
                <w:rStyle w:val="Hyperlink"/>
                <w:noProof/>
              </w:rPr>
              <w:t>Terminology Crosswalk</w:t>
            </w:r>
            <w:r>
              <w:rPr>
                <w:noProof/>
                <w:webHidden/>
              </w:rPr>
              <w:tab/>
            </w:r>
            <w:r>
              <w:rPr>
                <w:noProof/>
                <w:webHidden/>
              </w:rPr>
              <w:fldChar w:fldCharType="begin"/>
            </w:r>
            <w:r>
              <w:rPr>
                <w:noProof/>
                <w:webHidden/>
              </w:rPr>
              <w:instrText xml:space="preserve"> PAGEREF _Toc510512460 \h </w:instrText>
            </w:r>
            <w:r>
              <w:rPr>
                <w:noProof/>
                <w:webHidden/>
              </w:rPr>
            </w:r>
            <w:r>
              <w:rPr>
                <w:noProof/>
                <w:webHidden/>
              </w:rPr>
              <w:fldChar w:fldCharType="separate"/>
            </w:r>
            <w:r>
              <w:rPr>
                <w:noProof/>
                <w:webHidden/>
              </w:rPr>
              <w:t>7</w:t>
            </w:r>
            <w:r>
              <w:rPr>
                <w:noProof/>
                <w:webHidden/>
              </w:rPr>
              <w:fldChar w:fldCharType="end"/>
            </w:r>
          </w:hyperlink>
        </w:p>
        <w:p w14:paraId="27747979" w14:textId="25EDC7A4" w:rsidR="00860AD6" w:rsidRDefault="00860AD6">
          <w:pPr>
            <w:pStyle w:val="TOC2"/>
            <w:tabs>
              <w:tab w:val="right" w:leader="dot" w:pos="9350"/>
            </w:tabs>
            <w:rPr>
              <w:rFonts w:eastAsiaTheme="minorEastAsia"/>
              <w:noProof/>
            </w:rPr>
          </w:pPr>
          <w:hyperlink w:anchor="_Toc510512461" w:history="1">
            <w:r w:rsidRPr="00CD5FBD">
              <w:rPr>
                <w:rStyle w:val="Hyperlink"/>
                <w:noProof/>
              </w:rPr>
              <w:t>GS to AcqDemo Classification Conversion</w:t>
            </w:r>
            <w:r>
              <w:rPr>
                <w:noProof/>
                <w:webHidden/>
              </w:rPr>
              <w:tab/>
            </w:r>
            <w:r>
              <w:rPr>
                <w:noProof/>
                <w:webHidden/>
              </w:rPr>
              <w:fldChar w:fldCharType="begin"/>
            </w:r>
            <w:r>
              <w:rPr>
                <w:noProof/>
                <w:webHidden/>
              </w:rPr>
              <w:instrText xml:space="preserve"> PAGEREF _Toc510512461 \h </w:instrText>
            </w:r>
            <w:r>
              <w:rPr>
                <w:noProof/>
                <w:webHidden/>
              </w:rPr>
            </w:r>
            <w:r>
              <w:rPr>
                <w:noProof/>
                <w:webHidden/>
              </w:rPr>
              <w:fldChar w:fldCharType="separate"/>
            </w:r>
            <w:r>
              <w:rPr>
                <w:noProof/>
                <w:webHidden/>
              </w:rPr>
              <w:t>8</w:t>
            </w:r>
            <w:r>
              <w:rPr>
                <w:noProof/>
                <w:webHidden/>
              </w:rPr>
              <w:fldChar w:fldCharType="end"/>
            </w:r>
          </w:hyperlink>
        </w:p>
        <w:p w14:paraId="3A64DA3E" w14:textId="0D8273AC" w:rsidR="00860AD6" w:rsidRDefault="00860AD6">
          <w:pPr>
            <w:pStyle w:val="TOC2"/>
            <w:tabs>
              <w:tab w:val="right" w:leader="dot" w:pos="9350"/>
            </w:tabs>
            <w:rPr>
              <w:rFonts w:eastAsiaTheme="minorEastAsia"/>
              <w:noProof/>
            </w:rPr>
          </w:pPr>
          <w:hyperlink w:anchor="_Toc510512462" w:history="1">
            <w:r w:rsidRPr="00CD5FBD">
              <w:rPr>
                <w:rStyle w:val="Hyperlink"/>
                <w:noProof/>
              </w:rPr>
              <w:t>Broadbands</w:t>
            </w:r>
            <w:r>
              <w:rPr>
                <w:noProof/>
                <w:webHidden/>
              </w:rPr>
              <w:tab/>
            </w:r>
            <w:r>
              <w:rPr>
                <w:noProof/>
                <w:webHidden/>
              </w:rPr>
              <w:fldChar w:fldCharType="begin"/>
            </w:r>
            <w:r>
              <w:rPr>
                <w:noProof/>
                <w:webHidden/>
              </w:rPr>
              <w:instrText xml:space="preserve"> PAGEREF _Toc510512462 \h </w:instrText>
            </w:r>
            <w:r>
              <w:rPr>
                <w:noProof/>
                <w:webHidden/>
              </w:rPr>
            </w:r>
            <w:r>
              <w:rPr>
                <w:noProof/>
                <w:webHidden/>
              </w:rPr>
              <w:fldChar w:fldCharType="separate"/>
            </w:r>
            <w:r>
              <w:rPr>
                <w:noProof/>
                <w:webHidden/>
              </w:rPr>
              <w:t>8</w:t>
            </w:r>
            <w:r>
              <w:rPr>
                <w:noProof/>
                <w:webHidden/>
              </w:rPr>
              <w:fldChar w:fldCharType="end"/>
            </w:r>
          </w:hyperlink>
        </w:p>
        <w:p w14:paraId="4A155AB5" w14:textId="7958359B" w:rsidR="00860AD6" w:rsidRDefault="00860AD6">
          <w:pPr>
            <w:pStyle w:val="TOC2"/>
            <w:tabs>
              <w:tab w:val="right" w:leader="dot" w:pos="9350"/>
            </w:tabs>
            <w:rPr>
              <w:rFonts w:eastAsiaTheme="minorEastAsia"/>
              <w:noProof/>
            </w:rPr>
          </w:pPr>
          <w:hyperlink w:anchor="_Toc510512463" w:history="1">
            <w:r w:rsidRPr="00CD5FBD">
              <w:rPr>
                <w:rStyle w:val="Hyperlink"/>
                <w:noProof/>
              </w:rPr>
              <w:t>Conversion Pay Setting</w:t>
            </w:r>
            <w:r>
              <w:rPr>
                <w:noProof/>
                <w:webHidden/>
              </w:rPr>
              <w:tab/>
            </w:r>
            <w:r>
              <w:rPr>
                <w:noProof/>
                <w:webHidden/>
              </w:rPr>
              <w:fldChar w:fldCharType="begin"/>
            </w:r>
            <w:r>
              <w:rPr>
                <w:noProof/>
                <w:webHidden/>
              </w:rPr>
              <w:instrText xml:space="preserve"> PAGEREF _Toc510512463 \h </w:instrText>
            </w:r>
            <w:r>
              <w:rPr>
                <w:noProof/>
                <w:webHidden/>
              </w:rPr>
            </w:r>
            <w:r>
              <w:rPr>
                <w:noProof/>
                <w:webHidden/>
              </w:rPr>
              <w:fldChar w:fldCharType="separate"/>
            </w:r>
            <w:r>
              <w:rPr>
                <w:noProof/>
                <w:webHidden/>
              </w:rPr>
              <w:t>9</w:t>
            </w:r>
            <w:r>
              <w:rPr>
                <w:noProof/>
                <w:webHidden/>
              </w:rPr>
              <w:fldChar w:fldCharType="end"/>
            </w:r>
          </w:hyperlink>
        </w:p>
        <w:p w14:paraId="3045B7F5" w14:textId="0E8BA83B" w:rsidR="00860AD6" w:rsidRDefault="00860AD6">
          <w:pPr>
            <w:pStyle w:val="TOC2"/>
            <w:tabs>
              <w:tab w:val="right" w:leader="dot" w:pos="9350"/>
            </w:tabs>
            <w:rPr>
              <w:rFonts w:eastAsiaTheme="minorEastAsia"/>
              <w:noProof/>
            </w:rPr>
          </w:pPr>
          <w:hyperlink w:anchor="_Toc510512464" w:history="1">
            <w:r w:rsidRPr="00CD5FBD">
              <w:rPr>
                <w:rStyle w:val="Hyperlink"/>
                <w:noProof/>
              </w:rPr>
              <w:t>Position Requirements Documents (PRD)</w:t>
            </w:r>
            <w:r>
              <w:rPr>
                <w:noProof/>
                <w:webHidden/>
              </w:rPr>
              <w:tab/>
            </w:r>
            <w:r>
              <w:rPr>
                <w:noProof/>
                <w:webHidden/>
              </w:rPr>
              <w:fldChar w:fldCharType="begin"/>
            </w:r>
            <w:r>
              <w:rPr>
                <w:noProof/>
                <w:webHidden/>
              </w:rPr>
              <w:instrText xml:space="preserve"> PAGEREF _Toc510512464 \h </w:instrText>
            </w:r>
            <w:r>
              <w:rPr>
                <w:noProof/>
                <w:webHidden/>
              </w:rPr>
            </w:r>
            <w:r>
              <w:rPr>
                <w:noProof/>
                <w:webHidden/>
              </w:rPr>
              <w:fldChar w:fldCharType="separate"/>
            </w:r>
            <w:r>
              <w:rPr>
                <w:noProof/>
                <w:webHidden/>
              </w:rPr>
              <w:t>11</w:t>
            </w:r>
            <w:r>
              <w:rPr>
                <w:noProof/>
                <w:webHidden/>
              </w:rPr>
              <w:fldChar w:fldCharType="end"/>
            </w:r>
          </w:hyperlink>
        </w:p>
        <w:p w14:paraId="7DAF028C" w14:textId="23926E62" w:rsidR="00860AD6" w:rsidRDefault="00860AD6">
          <w:pPr>
            <w:pStyle w:val="TOC2"/>
            <w:tabs>
              <w:tab w:val="right" w:leader="dot" w:pos="9350"/>
            </w:tabs>
            <w:rPr>
              <w:rFonts w:eastAsiaTheme="minorEastAsia"/>
              <w:noProof/>
            </w:rPr>
          </w:pPr>
          <w:hyperlink w:anchor="_Toc510512465" w:history="1">
            <w:r w:rsidRPr="00CD5FBD">
              <w:rPr>
                <w:rStyle w:val="Hyperlink"/>
                <w:noProof/>
              </w:rPr>
              <w:t>Maximum Broadband Level</w:t>
            </w:r>
            <w:r>
              <w:rPr>
                <w:noProof/>
                <w:webHidden/>
              </w:rPr>
              <w:tab/>
            </w:r>
            <w:r>
              <w:rPr>
                <w:noProof/>
                <w:webHidden/>
              </w:rPr>
              <w:fldChar w:fldCharType="begin"/>
            </w:r>
            <w:r>
              <w:rPr>
                <w:noProof/>
                <w:webHidden/>
              </w:rPr>
              <w:instrText xml:space="preserve"> PAGEREF _Toc510512465 \h </w:instrText>
            </w:r>
            <w:r>
              <w:rPr>
                <w:noProof/>
                <w:webHidden/>
              </w:rPr>
            </w:r>
            <w:r>
              <w:rPr>
                <w:noProof/>
                <w:webHidden/>
              </w:rPr>
              <w:fldChar w:fldCharType="separate"/>
            </w:r>
            <w:r>
              <w:rPr>
                <w:noProof/>
                <w:webHidden/>
              </w:rPr>
              <w:t>12</w:t>
            </w:r>
            <w:r>
              <w:rPr>
                <w:noProof/>
                <w:webHidden/>
              </w:rPr>
              <w:fldChar w:fldCharType="end"/>
            </w:r>
          </w:hyperlink>
        </w:p>
        <w:p w14:paraId="3E01BF2D" w14:textId="38B4EF77" w:rsidR="00860AD6" w:rsidRDefault="00860AD6">
          <w:pPr>
            <w:pStyle w:val="TOC1"/>
            <w:tabs>
              <w:tab w:val="right" w:leader="dot" w:pos="9350"/>
            </w:tabs>
            <w:rPr>
              <w:rFonts w:eastAsiaTheme="minorEastAsia"/>
              <w:noProof/>
            </w:rPr>
          </w:pPr>
          <w:hyperlink w:anchor="_Toc510512466" w:history="1">
            <w:r w:rsidRPr="00CD5FBD">
              <w:rPr>
                <w:rStyle w:val="Hyperlink"/>
                <w:noProof/>
              </w:rPr>
              <w:t>Chapter 2:  Participating Organization Management Structure</w:t>
            </w:r>
            <w:r>
              <w:rPr>
                <w:noProof/>
                <w:webHidden/>
              </w:rPr>
              <w:tab/>
            </w:r>
            <w:r>
              <w:rPr>
                <w:noProof/>
                <w:webHidden/>
              </w:rPr>
              <w:fldChar w:fldCharType="begin"/>
            </w:r>
            <w:r>
              <w:rPr>
                <w:noProof/>
                <w:webHidden/>
              </w:rPr>
              <w:instrText xml:space="preserve"> PAGEREF _Toc510512466 \h </w:instrText>
            </w:r>
            <w:r>
              <w:rPr>
                <w:noProof/>
                <w:webHidden/>
              </w:rPr>
            </w:r>
            <w:r>
              <w:rPr>
                <w:noProof/>
                <w:webHidden/>
              </w:rPr>
              <w:fldChar w:fldCharType="separate"/>
            </w:r>
            <w:r>
              <w:rPr>
                <w:noProof/>
                <w:webHidden/>
              </w:rPr>
              <w:t>13</w:t>
            </w:r>
            <w:r>
              <w:rPr>
                <w:noProof/>
                <w:webHidden/>
              </w:rPr>
              <w:fldChar w:fldCharType="end"/>
            </w:r>
          </w:hyperlink>
        </w:p>
        <w:p w14:paraId="6410072C" w14:textId="71D4B0F6" w:rsidR="00860AD6" w:rsidRDefault="00860AD6">
          <w:pPr>
            <w:pStyle w:val="TOC3"/>
            <w:tabs>
              <w:tab w:val="right" w:leader="dot" w:pos="9350"/>
            </w:tabs>
            <w:rPr>
              <w:rFonts w:eastAsiaTheme="minorEastAsia"/>
              <w:noProof/>
            </w:rPr>
          </w:pPr>
          <w:hyperlink w:anchor="_Toc510512467" w:history="1">
            <w:r w:rsidRPr="00CD5FBD">
              <w:rPr>
                <w:rStyle w:val="Hyperlink"/>
                <w:noProof/>
              </w:rPr>
              <w:t>Organization Management Structure Decisions</w:t>
            </w:r>
            <w:r>
              <w:rPr>
                <w:noProof/>
                <w:webHidden/>
              </w:rPr>
              <w:tab/>
            </w:r>
            <w:r>
              <w:rPr>
                <w:noProof/>
                <w:webHidden/>
              </w:rPr>
              <w:fldChar w:fldCharType="begin"/>
            </w:r>
            <w:r>
              <w:rPr>
                <w:noProof/>
                <w:webHidden/>
              </w:rPr>
              <w:instrText xml:space="preserve"> PAGEREF _Toc510512467 \h </w:instrText>
            </w:r>
            <w:r>
              <w:rPr>
                <w:noProof/>
                <w:webHidden/>
              </w:rPr>
            </w:r>
            <w:r>
              <w:rPr>
                <w:noProof/>
                <w:webHidden/>
              </w:rPr>
              <w:fldChar w:fldCharType="separate"/>
            </w:r>
            <w:r>
              <w:rPr>
                <w:noProof/>
                <w:webHidden/>
              </w:rPr>
              <w:t>14</w:t>
            </w:r>
            <w:r>
              <w:rPr>
                <w:noProof/>
                <w:webHidden/>
              </w:rPr>
              <w:fldChar w:fldCharType="end"/>
            </w:r>
          </w:hyperlink>
        </w:p>
        <w:p w14:paraId="55F01D6B" w14:textId="3F1E64B5" w:rsidR="00860AD6" w:rsidRDefault="00860AD6">
          <w:pPr>
            <w:pStyle w:val="TOC1"/>
            <w:tabs>
              <w:tab w:val="right" w:leader="dot" w:pos="9350"/>
            </w:tabs>
            <w:rPr>
              <w:rFonts w:eastAsiaTheme="minorEastAsia"/>
              <w:noProof/>
            </w:rPr>
          </w:pPr>
          <w:hyperlink w:anchor="_Toc510512468" w:history="1">
            <w:r w:rsidRPr="00CD5FBD">
              <w:rPr>
                <w:rStyle w:val="Hyperlink"/>
                <w:noProof/>
              </w:rPr>
              <w:t>Chapter 3: Pay Administration Considerations</w:t>
            </w:r>
            <w:r>
              <w:rPr>
                <w:noProof/>
                <w:webHidden/>
              </w:rPr>
              <w:tab/>
            </w:r>
            <w:r>
              <w:rPr>
                <w:noProof/>
                <w:webHidden/>
              </w:rPr>
              <w:fldChar w:fldCharType="begin"/>
            </w:r>
            <w:r>
              <w:rPr>
                <w:noProof/>
                <w:webHidden/>
              </w:rPr>
              <w:instrText xml:space="preserve"> PAGEREF _Toc510512468 \h </w:instrText>
            </w:r>
            <w:r>
              <w:rPr>
                <w:noProof/>
                <w:webHidden/>
              </w:rPr>
            </w:r>
            <w:r>
              <w:rPr>
                <w:noProof/>
                <w:webHidden/>
              </w:rPr>
              <w:fldChar w:fldCharType="separate"/>
            </w:r>
            <w:r>
              <w:rPr>
                <w:noProof/>
                <w:webHidden/>
              </w:rPr>
              <w:t>15</w:t>
            </w:r>
            <w:r>
              <w:rPr>
                <w:noProof/>
                <w:webHidden/>
              </w:rPr>
              <w:fldChar w:fldCharType="end"/>
            </w:r>
          </w:hyperlink>
        </w:p>
        <w:p w14:paraId="77A56410" w14:textId="054BC678" w:rsidR="00860AD6" w:rsidRDefault="00860AD6">
          <w:pPr>
            <w:pStyle w:val="TOC2"/>
            <w:tabs>
              <w:tab w:val="right" w:leader="dot" w:pos="9350"/>
            </w:tabs>
            <w:rPr>
              <w:rFonts w:eastAsiaTheme="minorEastAsia"/>
              <w:noProof/>
            </w:rPr>
          </w:pPr>
          <w:hyperlink w:anchor="_Toc510512469" w:history="1">
            <w:r w:rsidRPr="00CD5FBD">
              <w:rPr>
                <w:rStyle w:val="Hyperlink"/>
                <w:noProof/>
              </w:rPr>
              <w:t>Compensation Management</w:t>
            </w:r>
            <w:r>
              <w:rPr>
                <w:noProof/>
                <w:webHidden/>
              </w:rPr>
              <w:tab/>
            </w:r>
            <w:r>
              <w:rPr>
                <w:noProof/>
                <w:webHidden/>
              </w:rPr>
              <w:fldChar w:fldCharType="begin"/>
            </w:r>
            <w:r>
              <w:rPr>
                <w:noProof/>
                <w:webHidden/>
              </w:rPr>
              <w:instrText xml:space="preserve"> PAGEREF _Toc510512469 \h </w:instrText>
            </w:r>
            <w:r>
              <w:rPr>
                <w:noProof/>
                <w:webHidden/>
              </w:rPr>
            </w:r>
            <w:r>
              <w:rPr>
                <w:noProof/>
                <w:webHidden/>
              </w:rPr>
              <w:fldChar w:fldCharType="separate"/>
            </w:r>
            <w:r>
              <w:rPr>
                <w:noProof/>
                <w:webHidden/>
              </w:rPr>
              <w:t>16</w:t>
            </w:r>
            <w:r>
              <w:rPr>
                <w:noProof/>
                <w:webHidden/>
              </w:rPr>
              <w:fldChar w:fldCharType="end"/>
            </w:r>
          </w:hyperlink>
        </w:p>
        <w:p w14:paraId="1EFCC3FC" w14:textId="4C1BBB70" w:rsidR="00860AD6" w:rsidRDefault="00860AD6">
          <w:pPr>
            <w:pStyle w:val="TOC2"/>
            <w:tabs>
              <w:tab w:val="right" w:leader="dot" w:pos="9350"/>
            </w:tabs>
            <w:rPr>
              <w:rFonts w:eastAsiaTheme="minorEastAsia"/>
              <w:noProof/>
            </w:rPr>
          </w:pPr>
          <w:hyperlink w:anchor="_Toc510512470" w:history="1">
            <w:r w:rsidRPr="00CD5FBD">
              <w:rPr>
                <w:rStyle w:val="Hyperlink"/>
                <w:noProof/>
              </w:rPr>
              <w:t>Compensation Philosophy</w:t>
            </w:r>
            <w:r>
              <w:rPr>
                <w:noProof/>
                <w:webHidden/>
              </w:rPr>
              <w:tab/>
            </w:r>
            <w:r>
              <w:rPr>
                <w:noProof/>
                <w:webHidden/>
              </w:rPr>
              <w:fldChar w:fldCharType="begin"/>
            </w:r>
            <w:r>
              <w:rPr>
                <w:noProof/>
                <w:webHidden/>
              </w:rPr>
              <w:instrText xml:space="preserve"> PAGEREF _Toc510512470 \h </w:instrText>
            </w:r>
            <w:r>
              <w:rPr>
                <w:noProof/>
                <w:webHidden/>
              </w:rPr>
            </w:r>
            <w:r>
              <w:rPr>
                <w:noProof/>
                <w:webHidden/>
              </w:rPr>
              <w:fldChar w:fldCharType="separate"/>
            </w:r>
            <w:r>
              <w:rPr>
                <w:noProof/>
                <w:webHidden/>
              </w:rPr>
              <w:t>17</w:t>
            </w:r>
            <w:r>
              <w:rPr>
                <w:noProof/>
                <w:webHidden/>
              </w:rPr>
              <w:fldChar w:fldCharType="end"/>
            </w:r>
          </w:hyperlink>
        </w:p>
        <w:p w14:paraId="61F74BEC" w14:textId="51EBF5C2" w:rsidR="00860AD6" w:rsidRDefault="00860AD6">
          <w:pPr>
            <w:pStyle w:val="TOC2"/>
            <w:tabs>
              <w:tab w:val="right" w:leader="dot" w:pos="9350"/>
            </w:tabs>
            <w:rPr>
              <w:rFonts w:eastAsiaTheme="minorEastAsia"/>
              <w:noProof/>
            </w:rPr>
          </w:pPr>
          <w:hyperlink w:anchor="_Toc510512471" w:history="1">
            <w:r w:rsidRPr="00CD5FBD">
              <w:rPr>
                <w:rStyle w:val="Hyperlink"/>
                <w:noProof/>
              </w:rPr>
              <w:t>Compensation Strategy</w:t>
            </w:r>
            <w:r>
              <w:rPr>
                <w:noProof/>
                <w:webHidden/>
              </w:rPr>
              <w:tab/>
            </w:r>
            <w:r>
              <w:rPr>
                <w:noProof/>
                <w:webHidden/>
              </w:rPr>
              <w:fldChar w:fldCharType="begin"/>
            </w:r>
            <w:r>
              <w:rPr>
                <w:noProof/>
                <w:webHidden/>
              </w:rPr>
              <w:instrText xml:space="preserve"> PAGEREF _Toc510512471 \h </w:instrText>
            </w:r>
            <w:r>
              <w:rPr>
                <w:noProof/>
                <w:webHidden/>
              </w:rPr>
            </w:r>
            <w:r>
              <w:rPr>
                <w:noProof/>
                <w:webHidden/>
              </w:rPr>
              <w:fldChar w:fldCharType="separate"/>
            </w:r>
            <w:r>
              <w:rPr>
                <w:noProof/>
                <w:webHidden/>
              </w:rPr>
              <w:t>18</w:t>
            </w:r>
            <w:r>
              <w:rPr>
                <w:noProof/>
                <w:webHidden/>
              </w:rPr>
              <w:fldChar w:fldCharType="end"/>
            </w:r>
          </w:hyperlink>
        </w:p>
        <w:p w14:paraId="67289178" w14:textId="717EBE3D" w:rsidR="00860AD6" w:rsidRDefault="00860AD6">
          <w:pPr>
            <w:pStyle w:val="TOC2"/>
            <w:tabs>
              <w:tab w:val="right" w:leader="dot" w:pos="9350"/>
            </w:tabs>
            <w:rPr>
              <w:rFonts w:eastAsiaTheme="minorEastAsia"/>
              <w:noProof/>
            </w:rPr>
          </w:pPr>
          <w:hyperlink w:anchor="_Toc510512472" w:history="1">
            <w:r w:rsidRPr="00CD5FBD">
              <w:rPr>
                <w:rStyle w:val="Hyperlink"/>
                <w:noProof/>
              </w:rPr>
              <w:t>Control Points / Stop-and-Consider Points</w:t>
            </w:r>
            <w:r>
              <w:rPr>
                <w:noProof/>
                <w:webHidden/>
              </w:rPr>
              <w:tab/>
            </w:r>
            <w:r>
              <w:rPr>
                <w:noProof/>
                <w:webHidden/>
              </w:rPr>
              <w:fldChar w:fldCharType="begin"/>
            </w:r>
            <w:r>
              <w:rPr>
                <w:noProof/>
                <w:webHidden/>
              </w:rPr>
              <w:instrText xml:space="preserve"> PAGEREF _Toc510512472 \h </w:instrText>
            </w:r>
            <w:r>
              <w:rPr>
                <w:noProof/>
                <w:webHidden/>
              </w:rPr>
            </w:r>
            <w:r>
              <w:rPr>
                <w:noProof/>
                <w:webHidden/>
              </w:rPr>
              <w:fldChar w:fldCharType="separate"/>
            </w:r>
            <w:r>
              <w:rPr>
                <w:noProof/>
                <w:webHidden/>
              </w:rPr>
              <w:t>19</w:t>
            </w:r>
            <w:r>
              <w:rPr>
                <w:noProof/>
                <w:webHidden/>
              </w:rPr>
              <w:fldChar w:fldCharType="end"/>
            </w:r>
          </w:hyperlink>
        </w:p>
        <w:p w14:paraId="1A61A8A6" w14:textId="4FBBCB24" w:rsidR="00860AD6" w:rsidRDefault="00860AD6">
          <w:pPr>
            <w:pStyle w:val="TOC3"/>
            <w:tabs>
              <w:tab w:val="right" w:leader="dot" w:pos="9350"/>
            </w:tabs>
            <w:rPr>
              <w:rFonts w:eastAsiaTheme="minorEastAsia"/>
              <w:noProof/>
            </w:rPr>
          </w:pPr>
          <w:hyperlink w:anchor="_Toc510512473" w:history="1">
            <w:r w:rsidRPr="00CD5FBD">
              <w:rPr>
                <w:rStyle w:val="Hyperlink"/>
                <w:noProof/>
              </w:rPr>
              <w:t>Compensation Strategy Business Rules Decisions</w:t>
            </w:r>
            <w:r>
              <w:rPr>
                <w:noProof/>
                <w:webHidden/>
              </w:rPr>
              <w:tab/>
            </w:r>
            <w:r>
              <w:rPr>
                <w:noProof/>
                <w:webHidden/>
              </w:rPr>
              <w:fldChar w:fldCharType="begin"/>
            </w:r>
            <w:r>
              <w:rPr>
                <w:noProof/>
                <w:webHidden/>
              </w:rPr>
              <w:instrText xml:space="preserve"> PAGEREF _Toc510512473 \h </w:instrText>
            </w:r>
            <w:r>
              <w:rPr>
                <w:noProof/>
                <w:webHidden/>
              </w:rPr>
            </w:r>
            <w:r>
              <w:rPr>
                <w:noProof/>
                <w:webHidden/>
              </w:rPr>
              <w:fldChar w:fldCharType="separate"/>
            </w:r>
            <w:r>
              <w:rPr>
                <w:noProof/>
                <w:webHidden/>
              </w:rPr>
              <w:t>20</w:t>
            </w:r>
            <w:r>
              <w:rPr>
                <w:noProof/>
                <w:webHidden/>
              </w:rPr>
              <w:fldChar w:fldCharType="end"/>
            </w:r>
          </w:hyperlink>
        </w:p>
        <w:p w14:paraId="2F8FAC0B" w14:textId="785528F4" w:rsidR="00860AD6" w:rsidRDefault="00860AD6">
          <w:pPr>
            <w:pStyle w:val="TOC2"/>
            <w:tabs>
              <w:tab w:val="right" w:leader="dot" w:pos="9350"/>
            </w:tabs>
            <w:rPr>
              <w:rFonts w:eastAsiaTheme="minorEastAsia"/>
              <w:noProof/>
            </w:rPr>
          </w:pPr>
          <w:hyperlink w:anchor="_Toc510512474" w:history="1">
            <w:r w:rsidRPr="00CD5FBD">
              <w:rPr>
                <w:rStyle w:val="Hyperlink"/>
                <w:noProof/>
              </w:rPr>
              <w:t>Compensation Policy</w:t>
            </w:r>
            <w:r>
              <w:rPr>
                <w:noProof/>
                <w:webHidden/>
              </w:rPr>
              <w:tab/>
            </w:r>
            <w:r>
              <w:rPr>
                <w:noProof/>
                <w:webHidden/>
              </w:rPr>
              <w:fldChar w:fldCharType="begin"/>
            </w:r>
            <w:r>
              <w:rPr>
                <w:noProof/>
                <w:webHidden/>
              </w:rPr>
              <w:instrText xml:space="preserve"> PAGEREF _Toc510512474 \h </w:instrText>
            </w:r>
            <w:r>
              <w:rPr>
                <w:noProof/>
                <w:webHidden/>
              </w:rPr>
            </w:r>
            <w:r>
              <w:rPr>
                <w:noProof/>
                <w:webHidden/>
              </w:rPr>
              <w:fldChar w:fldCharType="separate"/>
            </w:r>
            <w:r>
              <w:rPr>
                <w:noProof/>
                <w:webHidden/>
              </w:rPr>
              <w:t>21</w:t>
            </w:r>
            <w:r>
              <w:rPr>
                <w:noProof/>
                <w:webHidden/>
              </w:rPr>
              <w:fldChar w:fldCharType="end"/>
            </w:r>
          </w:hyperlink>
        </w:p>
        <w:p w14:paraId="35C7DD44" w14:textId="27ACA2A7" w:rsidR="00860AD6" w:rsidRDefault="00860AD6">
          <w:pPr>
            <w:pStyle w:val="TOC2"/>
            <w:tabs>
              <w:tab w:val="right" w:leader="dot" w:pos="9350"/>
            </w:tabs>
            <w:rPr>
              <w:rFonts w:eastAsiaTheme="minorEastAsia"/>
              <w:noProof/>
            </w:rPr>
          </w:pPr>
          <w:hyperlink w:anchor="_Toc510512475" w:history="1">
            <w:r w:rsidRPr="00CD5FBD">
              <w:rPr>
                <w:rStyle w:val="Hyperlink"/>
                <w:noProof/>
              </w:rPr>
              <w:t>Highest Previous Rate</w:t>
            </w:r>
            <w:r>
              <w:rPr>
                <w:noProof/>
                <w:webHidden/>
              </w:rPr>
              <w:tab/>
            </w:r>
            <w:r>
              <w:rPr>
                <w:noProof/>
                <w:webHidden/>
              </w:rPr>
              <w:fldChar w:fldCharType="begin"/>
            </w:r>
            <w:r>
              <w:rPr>
                <w:noProof/>
                <w:webHidden/>
              </w:rPr>
              <w:instrText xml:space="preserve"> PAGEREF _Toc510512475 \h </w:instrText>
            </w:r>
            <w:r>
              <w:rPr>
                <w:noProof/>
                <w:webHidden/>
              </w:rPr>
            </w:r>
            <w:r>
              <w:rPr>
                <w:noProof/>
                <w:webHidden/>
              </w:rPr>
              <w:fldChar w:fldCharType="separate"/>
            </w:r>
            <w:r>
              <w:rPr>
                <w:noProof/>
                <w:webHidden/>
              </w:rPr>
              <w:t>22</w:t>
            </w:r>
            <w:r>
              <w:rPr>
                <w:noProof/>
                <w:webHidden/>
              </w:rPr>
              <w:fldChar w:fldCharType="end"/>
            </w:r>
          </w:hyperlink>
        </w:p>
        <w:p w14:paraId="4F80472E" w14:textId="10F92D1F" w:rsidR="00860AD6" w:rsidRDefault="00860AD6">
          <w:pPr>
            <w:pStyle w:val="TOC2"/>
            <w:tabs>
              <w:tab w:val="right" w:leader="dot" w:pos="9350"/>
            </w:tabs>
            <w:rPr>
              <w:rFonts w:eastAsiaTheme="minorEastAsia"/>
              <w:noProof/>
            </w:rPr>
          </w:pPr>
          <w:hyperlink w:anchor="_Toc510512476" w:history="1">
            <w:r w:rsidRPr="00CD5FBD">
              <w:rPr>
                <w:rStyle w:val="Hyperlink"/>
                <w:noProof/>
              </w:rPr>
              <w:t>Supervisor and Team Leader Cash Differentials</w:t>
            </w:r>
            <w:r>
              <w:rPr>
                <w:noProof/>
                <w:webHidden/>
              </w:rPr>
              <w:tab/>
            </w:r>
            <w:r>
              <w:rPr>
                <w:noProof/>
                <w:webHidden/>
              </w:rPr>
              <w:fldChar w:fldCharType="begin"/>
            </w:r>
            <w:r>
              <w:rPr>
                <w:noProof/>
                <w:webHidden/>
              </w:rPr>
              <w:instrText xml:space="preserve"> PAGEREF _Toc510512476 \h </w:instrText>
            </w:r>
            <w:r>
              <w:rPr>
                <w:noProof/>
                <w:webHidden/>
              </w:rPr>
            </w:r>
            <w:r>
              <w:rPr>
                <w:noProof/>
                <w:webHidden/>
              </w:rPr>
              <w:fldChar w:fldCharType="separate"/>
            </w:r>
            <w:r>
              <w:rPr>
                <w:noProof/>
                <w:webHidden/>
              </w:rPr>
              <w:t>23</w:t>
            </w:r>
            <w:r>
              <w:rPr>
                <w:noProof/>
                <w:webHidden/>
              </w:rPr>
              <w:fldChar w:fldCharType="end"/>
            </w:r>
          </w:hyperlink>
        </w:p>
        <w:p w14:paraId="07378283" w14:textId="4ECFE26E" w:rsidR="00860AD6" w:rsidRDefault="00860AD6">
          <w:pPr>
            <w:pStyle w:val="TOC2"/>
            <w:tabs>
              <w:tab w:val="right" w:leader="dot" w:pos="9350"/>
            </w:tabs>
            <w:rPr>
              <w:rFonts w:eastAsiaTheme="minorEastAsia"/>
              <w:noProof/>
            </w:rPr>
          </w:pPr>
          <w:hyperlink w:anchor="_Toc510512477" w:history="1">
            <w:r w:rsidRPr="00CD5FBD">
              <w:rPr>
                <w:rStyle w:val="Hyperlink"/>
                <w:noProof/>
              </w:rPr>
              <w:t>Accelerated Compensation for Developmental Positions (ACDP)</w:t>
            </w:r>
            <w:r>
              <w:rPr>
                <w:noProof/>
                <w:webHidden/>
              </w:rPr>
              <w:tab/>
            </w:r>
            <w:r>
              <w:rPr>
                <w:noProof/>
                <w:webHidden/>
              </w:rPr>
              <w:fldChar w:fldCharType="begin"/>
            </w:r>
            <w:r>
              <w:rPr>
                <w:noProof/>
                <w:webHidden/>
              </w:rPr>
              <w:instrText xml:space="preserve"> PAGEREF _Toc510512477 \h </w:instrText>
            </w:r>
            <w:r>
              <w:rPr>
                <w:noProof/>
                <w:webHidden/>
              </w:rPr>
            </w:r>
            <w:r>
              <w:rPr>
                <w:noProof/>
                <w:webHidden/>
              </w:rPr>
              <w:fldChar w:fldCharType="separate"/>
            </w:r>
            <w:r>
              <w:rPr>
                <w:noProof/>
                <w:webHidden/>
              </w:rPr>
              <w:t>24</w:t>
            </w:r>
            <w:r>
              <w:rPr>
                <w:noProof/>
                <w:webHidden/>
              </w:rPr>
              <w:fldChar w:fldCharType="end"/>
            </w:r>
          </w:hyperlink>
        </w:p>
        <w:p w14:paraId="7796840C" w14:textId="433ED3BB" w:rsidR="00860AD6" w:rsidRDefault="00860AD6">
          <w:pPr>
            <w:pStyle w:val="TOC2"/>
            <w:tabs>
              <w:tab w:val="right" w:leader="dot" w:pos="9350"/>
            </w:tabs>
            <w:rPr>
              <w:rFonts w:eastAsiaTheme="minorEastAsia"/>
              <w:noProof/>
            </w:rPr>
          </w:pPr>
          <w:hyperlink w:anchor="_Toc510512478" w:history="1">
            <w:r w:rsidRPr="00CD5FBD">
              <w:rPr>
                <w:rStyle w:val="Hyperlink"/>
                <w:noProof/>
              </w:rPr>
              <w:t>Retained Pay Compensation Option</w:t>
            </w:r>
            <w:r>
              <w:rPr>
                <w:noProof/>
                <w:webHidden/>
              </w:rPr>
              <w:tab/>
            </w:r>
            <w:r>
              <w:rPr>
                <w:noProof/>
                <w:webHidden/>
              </w:rPr>
              <w:fldChar w:fldCharType="begin"/>
            </w:r>
            <w:r>
              <w:rPr>
                <w:noProof/>
                <w:webHidden/>
              </w:rPr>
              <w:instrText xml:space="preserve"> PAGEREF _Toc510512478 \h </w:instrText>
            </w:r>
            <w:r>
              <w:rPr>
                <w:noProof/>
                <w:webHidden/>
              </w:rPr>
            </w:r>
            <w:r>
              <w:rPr>
                <w:noProof/>
                <w:webHidden/>
              </w:rPr>
              <w:fldChar w:fldCharType="separate"/>
            </w:r>
            <w:r>
              <w:rPr>
                <w:noProof/>
                <w:webHidden/>
              </w:rPr>
              <w:t>26</w:t>
            </w:r>
            <w:r>
              <w:rPr>
                <w:noProof/>
                <w:webHidden/>
              </w:rPr>
              <w:fldChar w:fldCharType="end"/>
            </w:r>
          </w:hyperlink>
        </w:p>
        <w:p w14:paraId="6454C3DB" w14:textId="213FA35E" w:rsidR="00860AD6" w:rsidRDefault="00860AD6">
          <w:pPr>
            <w:pStyle w:val="TOC2"/>
            <w:tabs>
              <w:tab w:val="right" w:leader="dot" w:pos="9350"/>
            </w:tabs>
            <w:rPr>
              <w:rFonts w:eastAsiaTheme="minorEastAsia"/>
              <w:noProof/>
            </w:rPr>
          </w:pPr>
          <w:hyperlink w:anchor="_Toc510512479" w:history="1">
            <w:r w:rsidRPr="00CD5FBD">
              <w:rPr>
                <w:rStyle w:val="Hyperlink"/>
                <w:noProof/>
              </w:rPr>
              <w:t>Performance Awards</w:t>
            </w:r>
            <w:r>
              <w:rPr>
                <w:noProof/>
                <w:webHidden/>
              </w:rPr>
              <w:tab/>
            </w:r>
            <w:r>
              <w:rPr>
                <w:noProof/>
                <w:webHidden/>
              </w:rPr>
              <w:fldChar w:fldCharType="begin"/>
            </w:r>
            <w:r>
              <w:rPr>
                <w:noProof/>
                <w:webHidden/>
              </w:rPr>
              <w:instrText xml:space="preserve"> PAGEREF _Toc510512479 \h </w:instrText>
            </w:r>
            <w:r>
              <w:rPr>
                <w:noProof/>
                <w:webHidden/>
              </w:rPr>
            </w:r>
            <w:r>
              <w:rPr>
                <w:noProof/>
                <w:webHidden/>
              </w:rPr>
              <w:fldChar w:fldCharType="separate"/>
            </w:r>
            <w:r>
              <w:rPr>
                <w:noProof/>
                <w:webHidden/>
              </w:rPr>
              <w:t>27</w:t>
            </w:r>
            <w:r>
              <w:rPr>
                <w:noProof/>
                <w:webHidden/>
              </w:rPr>
              <w:fldChar w:fldCharType="end"/>
            </w:r>
          </w:hyperlink>
        </w:p>
        <w:p w14:paraId="22EAA05F" w14:textId="53C0255B" w:rsidR="00860AD6" w:rsidRDefault="00860AD6">
          <w:pPr>
            <w:pStyle w:val="TOC3"/>
            <w:tabs>
              <w:tab w:val="right" w:leader="dot" w:pos="9350"/>
            </w:tabs>
            <w:rPr>
              <w:rFonts w:eastAsiaTheme="minorEastAsia"/>
              <w:noProof/>
            </w:rPr>
          </w:pPr>
          <w:hyperlink w:anchor="_Toc510512480" w:history="1">
            <w:r w:rsidRPr="00CD5FBD">
              <w:rPr>
                <w:rStyle w:val="Hyperlink"/>
                <w:noProof/>
              </w:rPr>
              <w:t>Pay Administration Considerations Business Rules Decisions</w:t>
            </w:r>
            <w:r>
              <w:rPr>
                <w:noProof/>
                <w:webHidden/>
              </w:rPr>
              <w:tab/>
            </w:r>
            <w:r>
              <w:rPr>
                <w:noProof/>
                <w:webHidden/>
              </w:rPr>
              <w:fldChar w:fldCharType="begin"/>
            </w:r>
            <w:r>
              <w:rPr>
                <w:noProof/>
                <w:webHidden/>
              </w:rPr>
              <w:instrText xml:space="preserve"> PAGEREF _Toc510512480 \h </w:instrText>
            </w:r>
            <w:r>
              <w:rPr>
                <w:noProof/>
                <w:webHidden/>
              </w:rPr>
            </w:r>
            <w:r>
              <w:rPr>
                <w:noProof/>
                <w:webHidden/>
              </w:rPr>
              <w:fldChar w:fldCharType="separate"/>
            </w:r>
            <w:r>
              <w:rPr>
                <w:noProof/>
                <w:webHidden/>
              </w:rPr>
              <w:t>28</w:t>
            </w:r>
            <w:r>
              <w:rPr>
                <w:noProof/>
                <w:webHidden/>
              </w:rPr>
              <w:fldChar w:fldCharType="end"/>
            </w:r>
          </w:hyperlink>
        </w:p>
        <w:p w14:paraId="1E172100" w14:textId="228D29E7" w:rsidR="00860AD6" w:rsidRDefault="00860AD6">
          <w:pPr>
            <w:pStyle w:val="TOC1"/>
            <w:tabs>
              <w:tab w:val="right" w:leader="dot" w:pos="9350"/>
            </w:tabs>
            <w:rPr>
              <w:rFonts w:eastAsiaTheme="minorEastAsia"/>
              <w:noProof/>
            </w:rPr>
          </w:pPr>
          <w:hyperlink w:anchor="_Toc510512481" w:history="1">
            <w:r w:rsidRPr="00CD5FBD">
              <w:rPr>
                <w:rStyle w:val="Hyperlink"/>
                <w:noProof/>
              </w:rPr>
              <w:t>Chapter 4:  Contribution-Based Compensation and Appraisal System (CCAS) Considerations</w:t>
            </w:r>
            <w:r>
              <w:rPr>
                <w:noProof/>
                <w:webHidden/>
              </w:rPr>
              <w:tab/>
            </w:r>
            <w:r>
              <w:rPr>
                <w:noProof/>
                <w:webHidden/>
              </w:rPr>
              <w:fldChar w:fldCharType="begin"/>
            </w:r>
            <w:r>
              <w:rPr>
                <w:noProof/>
                <w:webHidden/>
              </w:rPr>
              <w:instrText xml:space="preserve"> PAGEREF _Toc510512481 \h </w:instrText>
            </w:r>
            <w:r>
              <w:rPr>
                <w:noProof/>
                <w:webHidden/>
              </w:rPr>
            </w:r>
            <w:r>
              <w:rPr>
                <w:noProof/>
                <w:webHidden/>
              </w:rPr>
              <w:fldChar w:fldCharType="separate"/>
            </w:r>
            <w:r>
              <w:rPr>
                <w:noProof/>
                <w:webHidden/>
              </w:rPr>
              <w:t>29</w:t>
            </w:r>
            <w:r>
              <w:rPr>
                <w:noProof/>
                <w:webHidden/>
              </w:rPr>
              <w:fldChar w:fldCharType="end"/>
            </w:r>
          </w:hyperlink>
        </w:p>
        <w:p w14:paraId="7859B139" w14:textId="47D3A3AF" w:rsidR="00860AD6" w:rsidRDefault="00860AD6">
          <w:pPr>
            <w:pStyle w:val="TOC2"/>
            <w:tabs>
              <w:tab w:val="right" w:leader="dot" w:pos="9350"/>
            </w:tabs>
            <w:rPr>
              <w:rFonts w:eastAsiaTheme="minorEastAsia"/>
              <w:noProof/>
            </w:rPr>
          </w:pPr>
          <w:hyperlink w:anchor="_Toc510512482" w:history="1">
            <w:r w:rsidRPr="00CD5FBD">
              <w:rPr>
                <w:rStyle w:val="Hyperlink"/>
                <w:noProof/>
              </w:rPr>
              <w:t>CCAS Design Overview</w:t>
            </w:r>
            <w:r>
              <w:rPr>
                <w:noProof/>
                <w:webHidden/>
              </w:rPr>
              <w:tab/>
            </w:r>
            <w:r>
              <w:rPr>
                <w:noProof/>
                <w:webHidden/>
              </w:rPr>
              <w:fldChar w:fldCharType="begin"/>
            </w:r>
            <w:r>
              <w:rPr>
                <w:noProof/>
                <w:webHidden/>
              </w:rPr>
              <w:instrText xml:space="preserve"> PAGEREF _Toc510512482 \h </w:instrText>
            </w:r>
            <w:r>
              <w:rPr>
                <w:noProof/>
                <w:webHidden/>
              </w:rPr>
            </w:r>
            <w:r>
              <w:rPr>
                <w:noProof/>
                <w:webHidden/>
              </w:rPr>
              <w:fldChar w:fldCharType="separate"/>
            </w:r>
            <w:r>
              <w:rPr>
                <w:noProof/>
                <w:webHidden/>
              </w:rPr>
              <w:t>30</w:t>
            </w:r>
            <w:r>
              <w:rPr>
                <w:noProof/>
                <w:webHidden/>
              </w:rPr>
              <w:fldChar w:fldCharType="end"/>
            </w:r>
          </w:hyperlink>
        </w:p>
        <w:p w14:paraId="23F0C8B3" w14:textId="7474EF0E" w:rsidR="00860AD6" w:rsidRDefault="00860AD6">
          <w:pPr>
            <w:pStyle w:val="TOC2"/>
            <w:tabs>
              <w:tab w:val="right" w:leader="dot" w:pos="9350"/>
            </w:tabs>
            <w:rPr>
              <w:rFonts w:eastAsiaTheme="minorEastAsia"/>
              <w:noProof/>
            </w:rPr>
          </w:pPr>
          <w:hyperlink w:anchor="_Toc510512483" w:history="1">
            <w:r w:rsidRPr="00CD5FBD">
              <w:rPr>
                <w:rStyle w:val="Hyperlink"/>
                <w:noProof/>
              </w:rPr>
              <w:t>Key Terms</w:t>
            </w:r>
            <w:r>
              <w:rPr>
                <w:noProof/>
                <w:webHidden/>
              </w:rPr>
              <w:tab/>
            </w:r>
            <w:r>
              <w:rPr>
                <w:noProof/>
                <w:webHidden/>
              </w:rPr>
              <w:fldChar w:fldCharType="begin"/>
            </w:r>
            <w:r>
              <w:rPr>
                <w:noProof/>
                <w:webHidden/>
              </w:rPr>
              <w:instrText xml:space="preserve"> PAGEREF _Toc510512483 \h </w:instrText>
            </w:r>
            <w:r>
              <w:rPr>
                <w:noProof/>
                <w:webHidden/>
              </w:rPr>
            </w:r>
            <w:r>
              <w:rPr>
                <w:noProof/>
                <w:webHidden/>
              </w:rPr>
              <w:fldChar w:fldCharType="separate"/>
            </w:r>
            <w:r>
              <w:rPr>
                <w:noProof/>
                <w:webHidden/>
              </w:rPr>
              <w:t>30</w:t>
            </w:r>
            <w:r>
              <w:rPr>
                <w:noProof/>
                <w:webHidden/>
              </w:rPr>
              <w:fldChar w:fldCharType="end"/>
            </w:r>
          </w:hyperlink>
        </w:p>
        <w:p w14:paraId="67505191" w14:textId="1AA6B395" w:rsidR="00860AD6" w:rsidRDefault="00860AD6">
          <w:pPr>
            <w:pStyle w:val="TOC2"/>
            <w:tabs>
              <w:tab w:val="right" w:leader="dot" w:pos="9350"/>
            </w:tabs>
            <w:rPr>
              <w:rFonts w:eastAsiaTheme="minorEastAsia"/>
              <w:noProof/>
            </w:rPr>
          </w:pPr>
          <w:hyperlink w:anchor="_Toc510512484" w:history="1">
            <w:r w:rsidRPr="00CD5FBD">
              <w:rPr>
                <w:rStyle w:val="Hyperlink"/>
                <w:noProof/>
              </w:rPr>
              <w:t>CCAS Cycle</w:t>
            </w:r>
            <w:r>
              <w:rPr>
                <w:noProof/>
                <w:webHidden/>
              </w:rPr>
              <w:tab/>
            </w:r>
            <w:r>
              <w:rPr>
                <w:noProof/>
                <w:webHidden/>
              </w:rPr>
              <w:fldChar w:fldCharType="begin"/>
            </w:r>
            <w:r>
              <w:rPr>
                <w:noProof/>
                <w:webHidden/>
              </w:rPr>
              <w:instrText xml:space="preserve"> PAGEREF _Toc510512484 \h </w:instrText>
            </w:r>
            <w:r>
              <w:rPr>
                <w:noProof/>
                <w:webHidden/>
              </w:rPr>
            </w:r>
            <w:r>
              <w:rPr>
                <w:noProof/>
                <w:webHidden/>
              </w:rPr>
              <w:fldChar w:fldCharType="separate"/>
            </w:r>
            <w:r>
              <w:rPr>
                <w:noProof/>
                <w:webHidden/>
              </w:rPr>
              <w:t>31</w:t>
            </w:r>
            <w:r>
              <w:rPr>
                <w:noProof/>
                <w:webHidden/>
              </w:rPr>
              <w:fldChar w:fldCharType="end"/>
            </w:r>
          </w:hyperlink>
        </w:p>
        <w:p w14:paraId="0F562004" w14:textId="300291BF" w:rsidR="00860AD6" w:rsidRDefault="00860AD6">
          <w:pPr>
            <w:pStyle w:val="TOC2"/>
            <w:tabs>
              <w:tab w:val="right" w:leader="dot" w:pos="9350"/>
            </w:tabs>
            <w:rPr>
              <w:rFonts w:eastAsiaTheme="minorEastAsia"/>
              <w:noProof/>
            </w:rPr>
          </w:pPr>
          <w:hyperlink w:anchor="_Toc510512485" w:history="1">
            <w:r w:rsidRPr="00CD5FBD">
              <w:rPr>
                <w:rStyle w:val="Hyperlink"/>
                <w:noProof/>
              </w:rPr>
              <w:t>Contribution Planning</w:t>
            </w:r>
            <w:r>
              <w:rPr>
                <w:noProof/>
                <w:webHidden/>
              </w:rPr>
              <w:tab/>
            </w:r>
            <w:r>
              <w:rPr>
                <w:noProof/>
                <w:webHidden/>
              </w:rPr>
              <w:fldChar w:fldCharType="begin"/>
            </w:r>
            <w:r>
              <w:rPr>
                <w:noProof/>
                <w:webHidden/>
              </w:rPr>
              <w:instrText xml:space="preserve"> PAGEREF _Toc510512485 \h </w:instrText>
            </w:r>
            <w:r>
              <w:rPr>
                <w:noProof/>
                <w:webHidden/>
              </w:rPr>
            </w:r>
            <w:r>
              <w:rPr>
                <w:noProof/>
                <w:webHidden/>
              </w:rPr>
              <w:fldChar w:fldCharType="separate"/>
            </w:r>
            <w:r>
              <w:rPr>
                <w:noProof/>
                <w:webHidden/>
              </w:rPr>
              <w:t>31</w:t>
            </w:r>
            <w:r>
              <w:rPr>
                <w:noProof/>
                <w:webHidden/>
              </w:rPr>
              <w:fldChar w:fldCharType="end"/>
            </w:r>
          </w:hyperlink>
        </w:p>
        <w:p w14:paraId="7616E1FD" w14:textId="6B612E05" w:rsidR="00860AD6" w:rsidRDefault="00860AD6">
          <w:pPr>
            <w:pStyle w:val="TOC2"/>
            <w:tabs>
              <w:tab w:val="right" w:leader="dot" w:pos="9350"/>
            </w:tabs>
            <w:rPr>
              <w:rFonts w:eastAsiaTheme="minorEastAsia"/>
              <w:noProof/>
            </w:rPr>
          </w:pPr>
          <w:hyperlink w:anchor="_Toc510512486" w:history="1">
            <w:r w:rsidRPr="00CD5FBD">
              <w:rPr>
                <w:rStyle w:val="Hyperlink"/>
                <w:noProof/>
              </w:rPr>
              <w:t>Employee Self- and Supervisor Assessments</w:t>
            </w:r>
            <w:r>
              <w:rPr>
                <w:noProof/>
                <w:webHidden/>
              </w:rPr>
              <w:tab/>
            </w:r>
            <w:r>
              <w:rPr>
                <w:noProof/>
                <w:webHidden/>
              </w:rPr>
              <w:fldChar w:fldCharType="begin"/>
            </w:r>
            <w:r>
              <w:rPr>
                <w:noProof/>
                <w:webHidden/>
              </w:rPr>
              <w:instrText xml:space="preserve"> PAGEREF _Toc510512486 \h </w:instrText>
            </w:r>
            <w:r>
              <w:rPr>
                <w:noProof/>
                <w:webHidden/>
              </w:rPr>
            </w:r>
            <w:r>
              <w:rPr>
                <w:noProof/>
                <w:webHidden/>
              </w:rPr>
              <w:fldChar w:fldCharType="separate"/>
            </w:r>
            <w:r>
              <w:rPr>
                <w:noProof/>
                <w:webHidden/>
              </w:rPr>
              <w:t>34</w:t>
            </w:r>
            <w:r>
              <w:rPr>
                <w:noProof/>
                <w:webHidden/>
              </w:rPr>
              <w:fldChar w:fldCharType="end"/>
            </w:r>
          </w:hyperlink>
        </w:p>
        <w:p w14:paraId="66E88B03" w14:textId="5FDA950C" w:rsidR="00860AD6" w:rsidRDefault="00860AD6">
          <w:pPr>
            <w:pStyle w:val="TOC2"/>
            <w:tabs>
              <w:tab w:val="right" w:leader="dot" w:pos="9350"/>
            </w:tabs>
            <w:rPr>
              <w:rFonts w:eastAsiaTheme="minorEastAsia"/>
              <w:noProof/>
            </w:rPr>
          </w:pPr>
          <w:hyperlink w:anchor="_Toc510512487" w:history="1">
            <w:r w:rsidRPr="00CD5FBD">
              <w:rPr>
                <w:rStyle w:val="Hyperlink"/>
                <w:noProof/>
              </w:rPr>
              <w:t>Scoring</w:t>
            </w:r>
            <w:r>
              <w:rPr>
                <w:noProof/>
                <w:webHidden/>
              </w:rPr>
              <w:tab/>
            </w:r>
            <w:r>
              <w:rPr>
                <w:noProof/>
                <w:webHidden/>
              </w:rPr>
              <w:fldChar w:fldCharType="begin"/>
            </w:r>
            <w:r>
              <w:rPr>
                <w:noProof/>
                <w:webHidden/>
              </w:rPr>
              <w:instrText xml:space="preserve"> PAGEREF _Toc510512487 \h </w:instrText>
            </w:r>
            <w:r>
              <w:rPr>
                <w:noProof/>
                <w:webHidden/>
              </w:rPr>
            </w:r>
            <w:r>
              <w:rPr>
                <w:noProof/>
                <w:webHidden/>
              </w:rPr>
              <w:fldChar w:fldCharType="separate"/>
            </w:r>
            <w:r>
              <w:rPr>
                <w:noProof/>
                <w:webHidden/>
              </w:rPr>
              <w:t>36</w:t>
            </w:r>
            <w:r>
              <w:rPr>
                <w:noProof/>
                <w:webHidden/>
              </w:rPr>
              <w:fldChar w:fldCharType="end"/>
            </w:r>
          </w:hyperlink>
        </w:p>
        <w:p w14:paraId="0229E5B5" w14:textId="7159EF3E" w:rsidR="00860AD6" w:rsidRDefault="00860AD6">
          <w:pPr>
            <w:pStyle w:val="TOC2"/>
            <w:tabs>
              <w:tab w:val="right" w:leader="dot" w:pos="9350"/>
            </w:tabs>
            <w:rPr>
              <w:rFonts w:eastAsiaTheme="minorEastAsia"/>
              <w:noProof/>
            </w:rPr>
          </w:pPr>
          <w:hyperlink w:anchor="_Toc510512488" w:history="1">
            <w:r w:rsidRPr="00CD5FBD">
              <w:rPr>
                <w:rStyle w:val="Hyperlink"/>
                <w:noProof/>
              </w:rPr>
              <w:t>Very High Score</w:t>
            </w:r>
            <w:r>
              <w:rPr>
                <w:noProof/>
                <w:webHidden/>
              </w:rPr>
              <w:tab/>
            </w:r>
            <w:r>
              <w:rPr>
                <w:noProof/>
                <w:webHidden/>
              </w:rPr>
              <w:fldChar w:fldCharType="begin"/>
            </w:r>
            <w:r>
              <w:rPr>
                <w:noProof/>
                <w:webHidden/>
              </w:rPr>
              <w:instrText xml:space="preserve"> PAGEREF _Toc510512488 \h </w:instrText>
            </w:r>
            <w:r>
              <w:rPr>
                <w:noProof/>
                <w:webHidden/>
              </w:rPr>
            </w:r>
            <w:r>
              <w:rPr>
                <w:noProof/>
                <w:webHidden/>
              </w:rPr>
              <w:fldChar w:fldCharType="separate"/>
            </w:r>
            <w:r>
              <w:rPr>
                <w:noProof/>
                <w:webHidden/>
              </w:rPr>
              <w:t>37</w:t>
            </w:r>
            <w:r>
              <w:rPr>
                <w:noProof/>
                <w:webHidden/>
              </w:rPr>
              <w:fldChar w:fldCharType="end"/>
            </w:r>
          </w:hyperlink>
        </w:p>
        <w:p w14:paraId="1C5E0EA6" w14:textId="68417CBE" w:rsidR="00860AD6" w:rsidRDefault="00860AD6">
          <w:pPr>
            <w:pStyle w:val="TOC3"/>
            <w:tabs>
              <w:tab w:val="right" w:leader="dot" w:pos="9350"/>
            </w:tabs>
            <w:rPr>
              <w:rFonts w:eastAsiaTheme="minorEastAsia"/>
              <w:noProof/>
            </w:rPr>
          </w:pPr>
          <w:hyperlink w:anchor="_Toc510512489" w:history="1">
            <w:r w:rsidRPr="00CD5FBD">
              <w:rPr>
                <w:rStyle w:val="Hyperlink"/>
                <w:noProof/>
              </w:rPr>
              <w:t>Contribution Planning, Employee Self- and Supervisor Assessments, and Scoring Business Rules Decisions</w:t>
            </w:r>
            <w:r>
              <w:rPr>
                <w:noProof/>
                <w:webHidden/>
              </w:rPr>
              <w:tab/>
            </w:r>
            <w:r>
              <w:rPr>
                <w:noProof/>
                <w:webHidden/>
              </w:rPr>
              <w:fldChar w:fldCharType="begin"/>
            </w:r>
            <w:r>
              <w:rPr>
                <w:noProof/>
                <w:webHidden/>
              </w:rPr>
              <w:instrText xml:space="preserve"> PAGEREF _Toc510512489 \h </w:instrText>
            </w:r>
            <w:r>
              <w:rPr>
                <w:noProof/>
                <w:webHidden/>
              </w:rPr>
            </w:r>
            <w:r>
              <w:rPr>
                <w:noProof/>
                <w:webHidden/>
              </w:rPr>
              <w:fldChar w:fldCharType="separate"/>
            </w:r>
            <w:r>
              <w:rPr>
                <w:noProof/>
                <w:webHidden/>
              </w:rPr>
              <w:t>38</w:t>
            </w:r>
            <w:r>
              <w:rPr>
                <w:noProof/>
                <w:webHidden/>
              </w:rPr>
              <w:fldChar w:fldCharType="end"/>
            </w:r>
          </w:hyperlink>
        </w:p>
        <w:p w14:paraId="5F64AB21" w14:textId="0CCF3A75" w:rsidR="00860AD6" w:rsidRDefault="00860AD6">
          <w:pPr>
            <w:pStyle w:val="TOC2"/>
            <w:tabs>
              <w:tab w:val="right" w:leader="dot" w:pos="9350"/>
            </w:tabs>
            <w:rPr>
              <w:rFonts w:eastAsiaTheme="minorEastAsia"/>
              <w:noProof/>
            </w:rPr>
          </w:pPr>
          <w:hyperlink w:anchor="_Toc510512490" w:history="1">
            <w:r w:rsidRPr="00CD5FBD">
              <w:rPr>
                <w:rStyle w:val="Hyperlink"/>
                <w:noProof/>
              </w:rPr>
              <w:t>Pay Pool Funding</w:t>
            </w:r>
            <w:r>
              <w:rPr>
                <w:noProof/>
                <w:webHidden/>
              </w:rPr>
              <w:tab/>
            </w:r>
            <w:r>
              <w:rPr>
                <w:noProof/>
                <w:webHidden/>
              </w:rPr>
              <w:fldChar w:fldCharType="begin"/>
            </w:r>
            <w:r>
              <w:rPr>
                <w:noProof/>
                <w:webHidden/>
              </w:rPr>
              <w:instrText xml:space="preserve"> PAGEREF _Toc510512490 \h </w:instrText>
            </w:r>
            <w:r>
              <w:rPr>
                <w:noProof/>
                <w:webHidden/>
              </w:rPr>
            </w:r>
            <w:r>
              <w:rPr>
                <w:noProof/>
                <w:webHidden/>
              </w:rPr>
              <w:fldChar w:fldCharType="separate"/>
            </w:r>
            <w:r>
              <w:rPr>
                <w:noProof/>
                <w:webHidden/>
              </w:rPr>
              <w:t>39</w:t>
            </w:r>
            <w:r>
              <w:rPr>
                <w:noProof/>
                <w:webHidden/>
              </w:rPr>
              <w:fldChar w:fldCharType="end"/>
            </w:r>
          </w:hyperlink>
        </w:p>
        <w:p w14:paraId="34060401" w14:textId="5C583BE5" w:rsidR="00860AD6" w:rsidRDefault="00860AD6">
          <w:pPr>
            <w:pStyle w:val="TOC2"/>
            <w:tabs>
              <w:tab w:val="right" w:leader="dot" w:pos="9350"/>
            </w:tabs>
            <w:rPr>
              <w:rFonts w:eastAsiaTheme="minorEastAsia"/>
              <w:noProof/>
            </w:rPr>
          </w:pPr>
          <w:hyperlink w:anchor="_Toc510512491" w:history="1">
            <w:r w:rsidRPr="00CD5FBD">
              <w:rPr>
                <w:rStyle w:val="Hyperlink"/>
                <w:noProof/>
              </w:rPr>
              <w:t>Discretionary Set-Aside</w:t>
            </w:r>
            <w:r>
              <w:rPr>
                <w:noProof/>
                <w:webHidden/>
              </w:rPr>
              <w:tab/>
            </w:r>
            <w:r>
              <w:rPr>
                <w:noProof/>
                <w:webHidden/>
              </w:rPr>
              <w:fldChar w:fldCharType="begin"/>
            </w:r>
            <w:r>
              <w:rPr>
                <w:noProof/>
                <w:webHidden/>
              </w:rPr>
              <w:instrText xml:space="preserve"> PAGEREF _Toc510512491 \h </w:instrText>
            </w:r>
            <w:r>
              <w:rPr>
                <w:noProof/>
                <w:webHidden/>
              </w:rPr>
            </w:r>
            <w:r>
              <w:rPr>
                <w:noProof/>
                <w:webHidden/>
              </w:rPr>
              <w:fldChar w:fldCharType="separate"/>
            </w:r>
            <w:r>
              <w:rPr>
                <w:noProof/>
                <w:webHidden/>
              </w:rPr>
              <w:t>40</w:t>
            </w:r>
            <w:r>
              <w:rPr>
                <w:noProof/>
                <w:webHidden/>
              </w:rPr>
              <w:fldChar w:fldCharType="end"/>
            </w:r>
          </w:hyperlink>
        </w:p>
        <w:p w14:paraId="65D46D3B" w14:textId="382AA630" w:rsidR="00860AD6" w:rsidRDefault="00860AD6">
          <w:pPr>
            <w:pStyle w:val="TOC2"/>
            <w:tabs>
              <w:tab w:val="right" w:leader="dot" w:pos="9350"/>
            </w:tabs>
            <w:rPr>
              <w:rFonts w:eastAsiaTheme="minorEastAsia"/>
              <w:noProof/>
            </w:rPr>
          </w:pPr>
          <w:hyperlink w:anchor="_Toc510512492" w:history="1">
            <w:r w:rsidRPr="00CD5FBD">
              <w:rPr>
                <w:rStyle w:val="Hyperlink"/>
                <w:noProof/>
              </w:rPr>
              <w:t>CCAS Reward Payout Criteria</w:t>
            </w:r>
            <w:r>
              <w:rPr>
                <w:noProof/>
                <w:webHidden/>
              </w:rPr>
              <w:tab/>
            </w:r>
            <w:r>
              <w:rPr>
                <w:noProof/>
                <w:webHidden/>
              </w:rPr>
              <w:fldChar w:fldCharType="begin"/>
            </w:r>
            <w:r>
              <w:rPr>
                <w:noProof/>
                <w:webHidden/>
              </w:rPr>
              <w:instrText xml:space="preserve"> PAGEREF _Toc510512492 \h </w:instrText>
            </w:r>
            <w:r>
              <w:rPr>
                <w:noProof/>
                <w:webHidden/>
              </w:rPr>
            </w:r>
            <w:r>
              <w:rPr>
                <w:noProof/>
                <w:webHidden/>
              </w:rPr>
              <w:fldChar w:fldCharType="separate"/>
            </w:r>
            <w:r>
              <w:rPr>
                <w:noProof/>
                <w:webHidden/>
              </w:rPr>
              <w:t>41</w:t>
            </w:r>
            <w:r>
              <w:rPr>
                <w:noProof/>
                <w:webHidden/>
              </w:rPr>
              <w:fldChar w:fldCharType="end"/>
            </w:r>
          </w:hyperlink>
        </w:p>
        <w:p w14:paraId="216F6C98" w14:textId="07376844" w:rsidR="00860AD6" w:rsidRDefault="00860AD6">
          <w:pPr>
            <w:pStyle w:val="TOC2"/>
            <w:tabs>
              <w:tab w:val="right" w:leader="dot" w:pos="9350"/>
            </w:tabs>
            <w:rPr>
              <w:rFonts w:eastAsiaTheme="minorEastAsia"/>
              <w:noProof/>
            </w:rPr>
          </w:pPr>
          <w:hyperlink w:anchor="_Toc510512493" w:history="1">
            <w:r w:rsidRPr="00CD5FBD">
              <w:rPr>
                <w:rStyle w:val="Hyperlink"/>
                <w:noProof/>
              </w:rPr>
              <w:t>Selecting Target Pay</w:t>
            </w:r>
            <w:r>
              <w:rPr>
                <w:noProof/>
                <w:webHidden/>
              </w:rPr>
              <w:tab/>
            </w:r>
            <w:r>
              <w:rPr>
                <w:noProof/>
                <w:webHidden/>
              </w:rPr>
              <w:fldChar w:fldCharType="begin"/>
            </w:r>
            <w:r>
              <w:rPr>
                <w:noProof/>
                <w:webHidden/>
              </w:rPr>
              <w:instrText xml:space="preserve"> PAGEREF _Toc510512493 \h </w:instrText>
            </w:r>
            <w:r>
              <w:rPr>
                <w:noProof/>
                <w:webHidden/>
              </w:rPr>
            </w:r>
            <w:r>
              <w:rPr>
                <w:noProof/>
                <w:webHidden/>
              </w:rPr>
              <w:fldChar w:fldCharType="separate"/>
            </w:r>
            <w:r>
              <w:rPr>
                <w:noProof/>
                <w:webHidden/>
              </w:rPr>
              <w:t>42</w:t>
            </w:r>
            <w:r>
              <w:rPr>
                <w:noProof/>
                <w:webHidden/>
              </w:rPr>
              <w:fldChar w:fldCharType="end"/>
            </w:r>
          </w:hyperlink>
        </w:p>
        <w:p w14:paraId="4AA5B5DF" w14:textId="54871A67" w:rsidR="00860AD6" w:rsidRDefault="00860AD6">
          <w:pPr>
            <w:pStyle w:val="TOC2"/>
            <w:tabs>
              <w:tab w:val="right" w:leader="dot" w:pos="9350"/>
            </w:tabs>
            <w:rPr>
              <w:rFonts w:eastAsiaTheme="minorEastAsia"/>
              <w:noProof/>
            </w:rPr>
          </w:pPr>
          <w:hyperlink w:anchor="_Toc510512494" w:history="1">
            <w:r w:rsidRPr="00CD5FBD">
              <w:rPr>
                <w:rStyle w:val="Hyperlink"/>
                <w:noProof/>
              </w:rPr>
              <w:t>CRI Carryover</w:t>
            </w:r>
            <w:r>
              <w:rPr>
                <w:noProof/>
                <w:webHidden/>
              </w:rPr>
              <w:tab/>
            </w:r>
            <w:r>
              <w:rPr>
                <w:noProof/>
                <w:webHidden/>
              </w:rPr>
              <w:fldChar w:fldCharType="begin"/>
            </w:r>
            <w:r>
              <w:rPr>
                <w:noProof/>
                <w:webHidden/>
              </w:rPr>
              <w:instrText xml:space="preserve"> PAGEREF _Toc510512494 \h </w:instrText>
            </w:r>
            <w:r>
              <w:rPr>
                <w:noProof/>
                <w:webHidden/>
              </w:rPr>
            </w:r>
            <w:r>
              <w:rPr>
                <w:noProof/>
                <w:webHidden/>
              </w:rPr>
              <w:fldChar w:fldCharType="separate"/>
            </w:r>
            <w:r>
              <w:rPr>
                <w:noProof/>
                <w:webHidden/>
              </w:rPr>
              <w:t>45</w:t>
            </w:r>
            <w:r>
              <w:rPr>
                <w:noProof/>
                <w:webHidden/>
              </w:rPr>
              <w:fldChar w:fldCharType="end"/>
            </w:r>
          </w:hyperlink>
        </w:p>
        <w:p w14:paraId="523EFDC2" w14:textId="74B83FF1" w:rsidR="00860AD6" w:rsidRDefault="00860AD6">
          <w:pPr>
            <w:pStyle w:val="TOC3"/>
            <w:tabs>
              <w:tab w:val="right" w:leader="dot" w:pos="9350"/>
            </w:tabs>
            <w:rPr>
              <w:rFonts w:eastAsiaTheme="minorEastAsia"/>
              <w:noProof/>
            </w:rPr>
          </w:pPr>
          <w:hyperlink w:anchor="_Toc510512495" w:history="1">
            <w:r w:rsidRPr="00CD5FBD">
              <w:rPr>
                <w:rStyle w:val="Hyperlink"/>
                <w:noProof/>
              </w:rPr>
              <w:t>Pay Pool Funding Business Rules Considerations</w:t>
            </w:r>
            <w:r>
              <w:rPr>
                <w:noProof/>
                <w:webHidden/>
              </w:rPr>
              <w:tab/>
            </w:r>
            <w:r>
              <w:rPr>
                <w:noProof/>
                <w:webHidden/>
              </w:rPr>
              <w:fldChar w:fldCharType="begin"/>
            </w:r>
            <w:r>
              <w:rPr>
                <w:noProof/>
                <w:webHidden/>
              </w:rPr>
              <w:instrText xml:space="preserve"> PAGEREF _Toc510512495 \h </w:instrText>
            </w:r>
            <w:r>
              <w:rPr>
                <w:noProof/>
                <w:webHidden/>
              </w:rPr>
            </w:r>
            <w:r>
              <w:rPr>
                <w:noProof/>
                <w:webHidden/>
              </w:rPr>
              <w:fldChar w:fldCharType="separate"/>
            </w:r>
            <w:r>
              <w:rPr>
                <w:noProof/>
                <w:webHidden/>
              </w:rPr>
              <w:t>46</w:t>
            </w:r>
            <w:r>
              <w:rPr>
                <w:noProof/>
                <w:webHidden/>
              </w:rPr>
              <w:fldChar w:fldCharType="end"/>
            </w:r>
          </w:hyperlink>
        </w:p>
        <w:p w14:paraId="5599DBD5" w14:textId="4427E842" w:rsidR="00860AD6" w:rsidRDefault="00860AD6">
          <w:pPr>
            <w:pStyle w:val="TOC2"/>
            <w:tabs>
              <w:tab w:val="right" w:leader="dot" w:pos="9350"/>
            </w:tabs>
            <w:rPr>
              <w:rFonts w:eastAsiaTheme="minorEastAsia"/>
              <w:noProof/>
            </w:rPr>
          </w:pPr>
          <w:hyperlink w:anchor="_Toc510512496" w:history="1">
            <w:r w:rsidRPr="00CD5FBD">
              <w:rPr>
                <w:rStyle w:val="Hyperlink"/>
                <w:noProof/>
              </w:rPr>
              <w:t>Quality of Performance</w:t>
            </w:r>
            <w:r>
              <w:rPr>
                <w:noProof/>
                <w:webHidden/>
              </w:rPr>
              <w:tab/>
            </w:r>
            <w:r>
              <w:rPr>
                <w:noProof/>
                <w:webHidden/>
              </w:rPr>
              <w:fldChar w:fldCharType="begin"/>
            </w:r>
            <w:r>
              <w:rPr>
                <w:noProof/>
                <w:webHidden/>
              </w:rPr>
              <w:instrText xml:space="preserve"> PAGEREF _Toc510512496 \h </w:instrText>
            </w:r>
            <w:r>
              <w:rPr>
                <w:noProof/>
                <w:webHidden/>
              </w:rPr>
            </w:r>
            <w:r>
              <w:rPr>
                <w:noProof/>
                <w:webHidden/>
              </w:rPr>
              <w:fldChar w:fldCharType="separate"/>
            </w:r>
            <w:r>
              <w:rPr>
                <w:noProof/>
                <w:webHidden/>
              </w:rPr>
              <w:t>47</w:t>
            </w:r>
            <w:r>
              <w:rPr>
                <w:noProof/>
                <w:webHidden/>
              </w:rPr>
              <w:fldChar w:fldCharType="end"/>
            </w:r>
          </w:hyperlink>
        </w:p>
        <w:p w14:paraId="0A936ADA" w14:textId="5817FBF4" w:rsidR="00860AD6" w:rsidRDefault="00860AD6">
          <w:pPr>
            <w:pStyle w:val="TOC2"/>
            <w:tabs>
              <w:tab w:val="right" w:leader="dot" w:pos="9350"/>
            </w:tabs>
            <w:rPr>
              <w:rFonts w:eastAsiaTheme="minorEastAsia"/>
              <w:noProof/>
            </w:rPr>
          </w:pPr>
          <w:hyperlink w:anchor="_Toc510512497" w:history="1">
            <w:r w:rsidRPr="00CD5FBD">
              <w:rPr>
                <w:rStyle w:val="Hyperlink"/>
                <w:noProof/>
              </w:rPr>
              <w:t>Quality of Performance Level Definitions</w:t>
            </w:r>
            <w:r>
              <w:rPr>
                <w:noProof/>
                <w:webHidden/>
              </w:rPr>
              <w:tab/>
            </w:r>
            <w:r>
              <w:rPr>
                <w:noProof/>
                <w:webHidden/>
              </w:rPr>
              <w:fldChar w:fldCharType="begin"/>
            </w:r>
            <w:r>
              <w:rPr>
                <w:noProof/>
                <w:webHidden/>
              </w:rPr>
              <w:instrText xml:space="preserve"> PAGEREF _Toc510512497 \h </w:instrText>
            </w:r>
            <w:r>
              <w:rPr>
                <w:noProof/>
                <w:webHidden/>
              </w:rPr>
            </w:r>
            <w:r>
              <w:rPr>
                <w:noProof/>
                <w:webHidden/>
              </w:rPr>
              <w:fldChar w:fldCharType="separate"/>
            </w:r>
            <w:r>
              <w:rPr>
                <w:noProof/>
                <w:webHidden/>
              </w:rPr>
              <w:t>48</w:t>
            </w:r>
            <w:r>
              <w:rPr>
                <w:noProof/>
                <w:webHidden/>
              </w:rPr>
              <w:fldChar w:fldCharType="end"/>
            </w:r>
          </w:hyperlink>
        </w:p>
        <w:p w14:paraId="5476D2F5" w14:textId="36D41A5A" w:rsidR="00860AD6" w:rsidRDefault="00860AD6">
          <w:pPr>
            <w:pStyle w:val="TOC2"/>
            <w:tabs>
              <w:tab w:val="right" w:leader="dot" w:pos="9350"/>
            </w:tabs>
            <w:rPr>
              <w:rFonts w:eastAsiaTheme="minorEastAsia"/>
              <w:noProof/>
            </w:rPr>
          </w:pPr>
          <w:hyperlink w:anchor="_Toc510512498" w:history="1">
            <w:r w:rsidRPr="00CD5FBD">
              <w:rPr>
                <w:rStyle w:val="Hyperlink"/>
                <w:noProof/>
              </w:rPr>
              <w:t>Quality of Performance Level Values</w:t>
            </w:r>
            <w:r>
              <w:rPr>
                <w:noProof/>
                <w:webHidden/>
              </w:rPr>
              <w:tab/>
            </w:r>
            <w:r>
              <w:rPr>
                <w:noProof/>
                <w:webHidden/>
              </w:rPr>
              <w:fldChar w:fldCharType="begin"/>
            </w:r>
            <w:r>
              <w:rPr>
                <w:noProof/>
                <w:webHidden/>
              </w:rPr>
              <w:instrText xml:space="preserve"> PAGEREF _Toc510512498 \h </w:instrText>
            </w:r>
            <w:r>
              <w:rPr>
                <w:noProof/>
                <w:webHidden/>
              </w:rPr>
            </w:r>
            <w:r>
              <w:rPr>
                <w:noProof/>
                <w:webHidden/>
              </w:rPr>
              <w:fldChar w:fldCharType="separate"/>
            </w:r>
            <w:r>
              <w:rPr>
                <w:noProof/>
                <w:webHidden/>
              </w:rPr>
              <w:t>49</w:t>
            </w:r>
            <w:r>
              <w:rPr>
                <w:noProof/>
                <w:webHidden/>
              </w:rPr>
              <w:fldChar w:fldCharType="end"/>
            </w:r>
          </w:hyperlink>
        </w:p>
        <w:p w14:paraId="6D87EFD2" w14:textId="279B4ED0" w:rsidR="00860AD6" w:rsidRDefault="00860AD6">
          <w:pPr>
            <w:pStyle w:val="TOC2"/>
            <w:tabs>
              <w:tab w:val="right" w:leader="dot" w:pos="9350"/>
            </w:tabs>
            <w:rPr>
              <w:rFonts w:eastAsiaTheme="minorEastAsia"/>
              <w:noProof/>
            </w:rPr>
          </w:pPr>
          <w:hyperlink w:anchor="_Toc510512499" w:history="1">
            <w:r w:rsidRPr="00CD5FBD">
              <w:rPr>
                <w:rStyle w:val="Hyperlink"/>
                <w:noProof/>
              </w:rPr>
              <w:t>CCAS Grievance Process</w:t>
            </w:r>
            <w:r>
              <w:rPr>
                <w:noProof/>
                <w:webHidden/>
              </w:rPr>
              <w:tab/>
            </w:r>
            <w:r>
              <w:rPr>
                <w:noProof/>
                <w:webHidden/>
              </w:rPr>
              <w:fldChar w:fldCharType="begin"/>
            </w:r>
            <w:r>
              <w:rPr>
                <w:noProof/>
                <w:webHidden/>
              </w:rPr>
              <w:instrText xml:space="preserve"> PAGEREF _Toc510512499 \h </w:instrText>
            </w:r>
            <w:r>
              <w:rPr>
                <w:noProof/>
                <w:webHidden/>
              </w:rPr>
            </w:r>
            <w:r>
              <w:rPr>
                <w:noProof/>
                <w:webHidden/>
              </w:rPr>
              <w:fldChar w:fldCharType="separate"/>
            </w:r>
            <w:r>
              <w:rPr>
                <w:noProof/>
                <w:webHidden/>
              </w:rPr>
              <w:t>50</w:t>
            </w:r>
            <w:r>
              <w:rPr>
                <w:noProof/>
                <w:webHidden/>
              </w:rPr>
              <w:fldChar w:fldCharType="end"/>
            </w:r>
          </w:hyperlink>
        </w:p>
        <w:p w14:paraId="13083DEF" w14:textId="17F9DFBC" w:rsidR="00860AD6" w:rsidRDefault="00860AD6">
          <w:pPr>
            <w:pStyle w:val="TOC3"/>
            <w:tabs>
              <w:tab w:val="right" w:leader="dot" w:pos="9350"/>
            </w:tabs>
            <w:rPr>
              <w:rFonts w:eastAsiaTheme="minorEastAsia"/>
              <w:noProof/>
            </w:rPr>
          </w:pPr>
          <w:hyperlink w:anchor="_Toc510512500" w:history="1">
            <w:r w:rsidRPr="00CD5FBD">
              <w:rPr>
                <w:rStyle w:val="Hyperlink"/>
                <w:noProof/>
              </w:rPr>
              <w:t>Quality of Performance and Grievance Process Business Rules Decisions</w:t>
            </w:r>
            <w:r>
              <w:rPr>
                <w:noProof/>
                <w:webHidden/>
              </w:rPr>
              <w:tab/>
            </w:r>
            <w:r>
              <w:rPr>
                <w:noProof/>
                <w:webHidden/>
              </w:rPr>
              <w:fldChar w:fldCharType="begin"/>
            </w:r>
            <w:r>
              <w:rPr>
                <w:noProof/>
                <w:webHidden/>
              </w:rPr>
              <w:instrText xml:space="preserve"> PAGEREF _Toc510512500 \h </w:instrText>
            </w:r>
            <w:r>
              <w:rPr>
                <w:noProof/>
                <w:webHidden/>
              </w:rPr>
            </w:r>
            <w:r>
              <w:rPr>
                <w:noProof/>
                <w:webHidden/>
              </w:rPr>
              <w:fldChar w:fldCharType="separate"/>
            </w:r>
            <w:r>
              <w:rPr>
                <w:noProof/>
                <w:webHidden/>
              </w:rPr>
              <w:t>51</w:t>
            </w:r>
            <w:r>
              <w:rPr>
                <w:noProof/>
                <w:webHidden/>
              </w:rPr>
              <w:fldChar w:fldCharType="end"/>
            </w:r>
          </w:hyperlink>
        </w:p>
        <w:p w14:paraId="3E3CAA01" w14:textId="44006A5C" w:rsidR="00860AD6" w:rsidRDefault="00860AD6">
          <w:pPr>
            <w:pStyle w:val="TOC2"/>
            <w:tabs>
              <w:tab w:val="right" w:leader="dot" w:pos="9350"/>
            </w:tabs>
            <w:rPr>
              <w:rFonts w:eastAsiaTheme="minorEastAsia"/>
              <w:noProof/>
            </w:rPr>
          </w:pPr>
          <w:hyperlink w:anchor="_Toc510512501" w:history="1">
            <w:r w:rsidRPr="00CD5FBD">
              <w:rPr>
                <w:rStyle w:val="Hyperlink"/>
                <w:noProof/>
              </w:rPr>
              <w:t>Communicating Aggregate CCAS Results</w:t>
            </w:r>
            <w:r>
              <w:rPr>
                <w:noProof/>
                <w:webHidden/>
              </w:rPr>
              <w:tab/>
            </w:r>
            <w:r>
              <w:rPr>
                <w:noProof/>
                <w:webHidden/>
              </w:rPr>
              <w:fldChar w:fldCharType="begin"/>
            </w:r>
            <w:r>
              <w:rPr>
                <w:noProof/>
                <w:webHidden/>
              </w:rPr>
              <w:instrText xml:space="preserve"> PAGEREF _Toc510512501 \h </w:instrText>
            </w:r>
            <w:r>
              <w:rPr>
                <w:noProof/>
                <w:webHidden/>
              </w:rPr>
            </w:r>
            <w:r>
              <w:rPr>
                <w:noProof/>
                <w:webHidden/>
              </w:rPr>
              <w:fldChar w:fldCharType="separate"/>
            </w:r>
            <w:r>
              <w:rPr>
                <w:noProof/>
                <w:webHidden/>
              </w:rPr>
              <w:t>52</w:t>
            </w:r>
            <w:r>
              <w:rPr>
                <w:noProof/>
                <w:webHidden/>
              </w:rPr>
              <w:fldChar w:fldCharType="end"/>
            </w:r>
          </w:hyperlink>
        </w:p>
        <w:p w14:paraId="3852BA56" w14:textId="04FB294B" w:rsidR="00860AD6" w:rsidRDefault="00860AD6">
          <w:pPr>
            <w:pStyle w:val="TOC2"/>
            <w:tabs>
              <w:tab w:val="right" w:leader="dot" w:pos="9350"/>
            </w:tabs>
            <w:rPr>
              <w:rFonts w:eastAsiaTheme="minorEastAsia"/>
              <w:noProof/>
            </w:rPr>
          </w:pPr>
          <w:hyperlink w:anchor="_Toc510512502" w:history="1">
            <w:r w:rsidRPr="00CD5FBD">
              <w:rPr>
                <w:rStyle w:val="Hyperlink"/>
                <w:noProof/>
              </w:rPr>
              <w:t>Continual Feedback and Mid-Point Review</w:t>
            </w:r>
            <w:r>
              <w:rPr>
                <w:noProof/>
                <w:webHidden/>
              </w:rPr>
              <w:tab/>
            </w:r>
            <w:r>
              <w:rPr>
                <w:noProof/>
                <w:webHidden/>
              </w:rPr>
              <w:fldChar w:fldCharType="begin"/>
            </w:r>
            <w:r>
              <w:rPr>
                <w:noProof/>
                <w:webHidden/>
              </w:rPr>
              <w:instrText xml:space="preserve"> PAGEREF _Toc510512502 \h </w:instrText>
            </w:r>
            <w:r>
              <w:rPr>
                <w:noProof/>
                <w:webHidden/>
              </w:rPr>
            </w:r>
            <w:r>
              <w:rPr>
                <w:noProof/>
                <w:webHidden/>
              </w:rPr>
              <w:fldChar w:fldCharType="separate"/>
            </w:r>
            <w:r>
              <w:rPr>
                <w:noProof/>
                <w:webHidden/>
              </w:rPr>
              <w:t>53</w:t>
            </w:r>
            <w:r>
              <w:rPr>
                <w:noProof/>
                <w:webHidden/>
              </w:rPr>
              <w:fldChar w:fldCharType="end"/>
            </w:r>
          </w:hyperlink>
        </w:p>
        <w:p w14:paraId="58C34424" w14:textId="6969C8D5" w:rsidR="00860AD6" w:rsidRDefault="00860AD6">
          <w:pPr>
            <w:pStyle w:val="TOC2"/>
            <w:tabs>
              <w:tab w:val="right" w:leader="dot" w:pos="9350"/>
            </w:tabs>
            <w:rPr>
              <w:rFonts w:eastAsiaTheme="minorEastAsia"/>
              <w:noProof/>
            </w:rPr>
          </w:pPr>
          <w:hyperlink w:anchor="_Toc510512503" w:history="1">
            <w:r w:rsidRPr="00CD5FBD">
              <w:rPr>
                <w:rStyle w:val="Hyperlink"/>
                <w:noProof/>
              </w:rPr>
              <w:t>Closeout Assessments</w:t>
            </w:r>
            <w:r>
              <w:rPr>
                <w:noProof/>
                <w:webHidden/>
              </w:rPr>
              <w:tab/>
            </w:r>
            <w:r>
              <w:rPr>
                <w:noProof/>
                <w:webHidden/>
              </w:rPr>
              <w:fldChar w:fldCharType="begin"/>
            </w:r>
            <w:r>
              <w:rPr>
                <w:noProof/>
                <w:webHidden/>
              </w:rPr>
              <w:instrText xml:space="preserve"> PAGEREF _Toc510512503 \h </w:instrText>
            </w:r>
            <w:r>
              <w:rPr>
                <w:noProof/>
                <w:webHidden/>
              </w:rPr>
            </w:r>
            <w:r>
              <w:rPr>
                <w:noProof/>
                <w:webHidden/>
              </w:rPr>
              <w:fldChar w:fldCharType="separate"/>
            </w:r>
            <w:r>
              <w:rPr>
                <w:noProof/>
                <w:webHidden/>
              </w:rPr>
              <w:t>54</w:t>
            </w:r>
            <w:r>
              <w:rPr>
                <w:noProof/>
                <w:webHidden/>
              </w:rPr>
              <w:fldChar w:fldCharType="end"/>
            </w:r>
          </w:hyperlink>
        </w:p>
        <w:p w14:paraId="5619FD2E" w14:textId="67598503" w:rsidR="00860AD6" w:rsidRDefault="00860AD6">
          <w:pPr>
            <w:pStyle w:val="TOC3"/>
            <w:tabs>
              <w:tab w:val="right" w:leader="dot" w:pos="9350"/>
            </w:tabs>
            <w:rPr>
              <w:rFonts w:eastAsiaTheme="minorEastAsia"/>
              <w:noProof/>
            </w:rPr>
          </w:pPr>
          <w:hyperlink w:anchor="_Toc510512504" w:history="1">
            <w:r w:rsidRPr="00CD5FBD">
              <w:rPr>
                <w:rStyle w:val="Hyperlink"/>
                <w:noProof/>
              </w:rPr>
              <w:t>Communication and Feedback Business Rules Decisions</w:t>
            </w:r>
            <w:r>
              <w:rPr>
                <w:noProof/>
                <w:webHidden/>
              </w:rPr>
              <w:tab/>
            </w:r>
            <w:r>
              <w:rPr>
                <w:noProof/>
                <w:webHidden/>
              </w:rPr>
              <w:fldChar w:fldCharType="begin"/>
            </w:r>
            <w:r>
              <w:rPr>
                <w:noProof/>
                <w:webHidden/>
              </w:rPr>
              <w:instrText xml:space="preserve"> PAGEREF _Toc510512504 \h </w:instrText>
            </w:r>
            <w:r>
              <w:rPr>
                <w:noProof/>
                <w:webHidden/>
              </w:rPr>
            </w:r>
            <w:r>
              <w:rPr>
                <w:noProof/>
                <w:webHidden/>
              </w:rPr>
              <w:fldChar w:fldCharType="separate"/>
            </w:r>
            <w:r>
              <w:rPr>
                <w:noProof/>
                <w:webHidden/>
              </w:rPr>
              <w:t>55</w:t>
            </w:r>
            <w:r>
              <w:rPr>
                <w:noProof/>
                <w:webHidden/>
              </w:rPr>
              <w:fldChar w:fldCharType="end"/>
            </w:r>
          </w:hyperlink>
        </w:p>
        <w:p w14:paraId="3393BAE2" w14:textId="26C81581" w:rsidR="007F5CFF" w:rsidRDefault="00E27BD6">
          <w:r>
            <w:fldChar w:fldCharType="end"/>
          </w:r>
        </w:p>
      </w:sdtContent>
    </w:sdt>
    <w:p w14:paraId="45754705" w14:textId="77777777" w:rsidR="007F5CFF" w:rsidRDefault="007F5CFF"/>
    <w:p w14:paraId="3F325944" w14:textId="77777777" w:rsidR="007F5CFF" w:rsidRDefault="007F5CFF"/>
    <w:p w14:paraId="0997665D" w14:textId="77777777" w:rsidR="00DB1EFF" w:rsidRDefault="00DB1EFF">
      <w:r>
        <w:br w:type="page"/>
      </w:r>
    </w:p>
    <w:p w14:paraId="103EBD67" w14:textId="772B321E" w:rsidR="008A4940" w:rsidRDefault="008848D1" w:rsidP="008A4940">
      <w:pPr>
        <w:spacing w:line="360" w:lineRule="auto"/>
        <w:jc w:val="center"/>
      </w:pPr>
      <w:r w:rsidRPr="008848D1">
        <w:rPr>
          <w:noProof/>
        </w:rPr>
        <w:lastRenderedPageBreak/>
        <w:drawing>
          <wp:inline distT="0" distB="0" distL="0" distR="0" wp14:anchorId="4F2EAA4D" wp14:editId="4C481A1F">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51F4D40F" w14:textId="77777777" w:rsidR="008A4940" w:rsidRPr="00C86170" w:rsidRDefault="008A4940" w:rsidP="00C86170">
      <w:pPr>
        <w:pStyle w:val="NoSpacing"/>
      </w:pPr>
    </w:p>
    <w:p w14:paraId="387833C4" w14:textId="65C91A65" w:rsidR="0036793A" w:rsidRDefault="008A4940" w:rsidP="00892971">
      <w:pPr>
        <w:pStyle w:val="NoSpacing"/>
      </w:pPr>
      <w:r w:rsidRPr="00C86170">
        <w:t xml:space="preserve">Welcome to the </w:t>
      </w:r>
      <w:r w:rsidR="00292F91">
        <w:t xml:space="preserve">AcqDemo Business Rules </w:t>
      </w:r>
      <w:r w:rsidR="008848D1">
        <w:t>Development</w:t>
      </w:r>
      <w:r w:rsidR="00292F91">
        <w:t xml:space="preserve"> </w:t>
      </w:r>
      <w:r w:rsidR="001C467E">
        <w:t xml:space="preserve">one-day </w:t>
      </w:r>
      <w:r w:rsidR="00705675">
        <w:t>class</w:t>
      </w:r>
      <w:r w:rsidRPr="00C86170">
        <w:t xml:space="preserve">.  </w:t>
      </w:r>
    </w:p>
    <w:p w14:paraId="7666CAC1" w14:textId="77777777" w:rsidR="0036793A" w:rsidRDefault="0036793A" w:rsidP="00892971">
      <w:pPr>
        <w:pStyle w:val="NoSpacing"/>
      </w:pPr>
    </w:p>
    <w:p w14:paraId="607D452C" w14:textId="77777777" w:rsidR="0036793A" w:rsidRDefault="00705675" w:rsidP="00892971">
      <w:pPr>
        <w:pStyle w:val="NoSpacing"/>
      </w:pPr>
      <w:r w:rsidRPr="00C86170">
        <w:t xml:space="preserve">The </w:t>
      </w:r>
      <w:r w:rsidR="0036793A">
        <w:t xml:space="preserve">purpose of the </w:t>
      </w:r>
      <w:r>
        <w:t xml:space="preserve">Department of Defense </w:t>
      </w:r>
      <w:r w:rsidRPr="00C86170">
        <w:t>Civilian Acquisition Workforce Personnel Demonstration P</w:t>
      </w:r>
      <w:r w:rsidR="00230CE7">
        <w:t>roject (AcqDemo)</w:t>
      </w:r>
      <w:r>
        <w:t xml:space="preserve"> </w:t>
      </w:r>
      <w:r w:rsidR="0036793A">
        <w:t>is to demonstrate that the effectiveness of DoD acquisition can be enhanced by allowing greater managerial control over personnel processes and functions and, at the same time, expand the opportunities available to employees through a more responsive and flexible personnel system.</w:t>
      </w:r>
    </w:p>
    <w:p w14:paraId="40D39AF3" w14:textId="77777777" w:rsidR="0036793A" w:rsidRDefault="0036793A" w:rsidP="00892971">
      <w:pPr>
        <w:pStyle w:val="NoSpacing"/>
      </w:pPr>
    </w:p>
    <w:p w14:paraId="36698303" w14:textId="6EA6ABF6" w:rsidR="008A4940" w:rsidRDefault="008A4940" w:rsidP="00892971">
      <w:pPr>
        <w:pStyle w:val="NoSpacing"/>
      </w:pPr>
      <w:r w:rsidRPr="00C86170">
        <w:t xml:space="preserve">This </w:t>
      </w:r>
      <w:r w:rsidR="009D5132">
        <w:t xml:space="preserve">training session </w:t>
      </w:r>
      <w:r w:rsidRPr="00C86170">
        <w:t xml:space="preserve">is designed </w:t>
      </w:r>
      <w:r w:rsidR="00705675">
        <w:t xml:space="preserve">for </w:t>
      </w:r>
      <w:r w:rsidR="008848D1">
        <w:t>management personnel to understand the requirements of their AcqDemo business rules so as to begin developing policies needed for implementation.</w:t>
      </w:r>
    </w:p>
    <w:p w14:paraId="08D3E6C8" w14:textId="77777777" w:rsidR="008A4940" w:rsidRDefault="008A4940">
      <w:r>
        <w:br w:type="page"/>
      </w:r>
    </w:p>
    <w:p w14:paraId="44492E38" w14:textId="5B47E641" w:rsidR="008A4940" w:rsidRDefault="009D5132" w:rsidP="009D5132">
      <w:pPr>
        <w:pStyle w:val="Heading1"/>
      </w:pPr>
      <w:bookmarkStart w:id="1" w:name="_Toc510512458"/>
      <w:r>
        <w:lastRenderedPageBreak/>
        <w:t xml:space="preserve">Chapter 1:  </w:t>
      </w:r>
      <w:r w:rsidR="00CB073C">
        <w:t>AcqDemo Conversion Highlights</w:t>
      </w:r>
      <w:bookmarkEnd w:id="1"/>
    </w:p>
    <w:p w14:paraId="70593855" w14:textId="4111C59B" w:rsidR="002D15AE" w:rsidRPr="002D15AE" w:rsidRDefault="002D15AE" w:rsidP="002D15AE">
      <w:pPr>
        <w:pStyle w:val="Heading2"/>
      </w:pPr>
      <w:bookmarkStart w:id="2" w:name="_Toc510512459"/>
      <w:r>
        <w:t>AcqDemo Purpose</w:t>
      </w:r>
      <w:bookmarkEnd w:id="2"/>
    </w:p>
    <w:p w14:paraId="467EF096" w14:textId="0A8D1C4B" w:rsidR="008A4940" w:rsidRDefault="00CB073C" w:rsidP="008A4940">
      <w:pPr>
        <w:spacing w:line="360" w:lineRule="auto"/>
        <w:jc w:val="center"/>
      </w:pPr>
      <w:r w:rsidRPr="00CB073C">
        <w:rPr>
          <w:noProof/>
        </w:rPr>
        <w:drawing>
          <wp:inline distT="0" distB="0" distL="0" distR="0" wp14:anchorId="7BDA1DE4" wp14:editId="258D2B54">
            <wp:extent cx="4572396"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62832410" w14:textId="01467EF0" w:rsidR="009605CE" w:rsidRDefault="009605CE" w:rsidP="009605CE">
      <w:pPr>
        <w:spacing w:line="360" w:lineRule="auto"/>
      </w:pPr>
      <w:r>
        <w:t>NOTES:</w:t>
      </w:r>
    </w:p>
    <w:p w14:paraId="399CE4F6" w14:textId="3F8CDE00" w:rsidR="009605CE" w:rsidRDefault="009605CE" w:rsidP="009605C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2D8ED4" w14:textId="604F745D" w:rsidR="009605CE" w:rsidRDefault="009605CE" w:rsidP="009605C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2FEC93" w14:textId="4ADB3552" w:rsidR="009605CE" w:rsidRDefault="009605CE" w:rsidP="009605C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996BBF" w14:textId="51E7DB40" w:rsidR="009605CE" w:rsidRDefault="009605CE" w:rsidP="009605C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D300D7" w14:textId="1DB7A5AB" w:rsidR="009605CE" w:rsidRDefault="009605CE" w:rsidP="009605C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5B45DF" w14:textId="3D4C6586" w:rsidR="009605CE" w:rsidRPr="009605CE" w:rsidRDefault="009605CE" w:rsidP="009605C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1FA2E6" w14:textId="0FB9051C" w:rsidR="009605CE" w:rsidRDefault="009605CE">
      <w:r>
        <w:br w:type="page"/>
      </w:r>
    </w:p>
    <w:p w14:paraId="20F9231B" w14:textId="4F892471" w:rsidR="002D15AE" w:rsidRDefault="002D15AE" w:rsidP="002D15AE">
      <w:pPr>
        <w:pStyle w:val="Heading2"/>
      </w:pPr>
      <w:bookmarkStart w:id="3" w:name="_Toc510512460"/>
      <w:r>
        <w:lastRenderedPageBreak/>
        <w:t>Terminology Crosswalk</w:t>
      </w:r>
      <w:bookmarkEnd w:id="3"/>
    </w:p>
    <w:p w14:paraId="45F9F357" w14:textId="77777777" w:rsidR="002D15AE" w:rsidRDefault="002D15AE" w:rsidP="0069578D">
      <w:pPr>
        <w:pStyle w:val="NoSpacing"/>
        <w:spacing w:after="60"/>
        <w:jc w:val="center"/>
      </w:pPr>
    </w:p>
    <w:p w14:paraId="56A61E06" w14:textId="303A41C5" w:rsidR="008A4940" w:rsidRDefault="009605CE" w:rsidP="0069578D">
      <w:pPr>
        <w:pStyle w:val="NoSpacing"/>
        <w:spacing w:after="60"/>
        <w:jc w:val="center"/>
      </w:pPr>
      <w:r w:rsidRPr="009605CE">
        <w:rPr>
          <w:noProof/>
        </w:rPr>
        <w:drawing>
          <wp:inline distT="0" distB="0" distL="0" distR="0" wp14:anchorId="20984EF4" wp14:editId="0E19B04C">
            <wp:extent cx="4572396" cy="3429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7700EA39" w14:textId="77777777" w:rsidR="002D15AE" w:rsidRDefault="002D15AE" w:rsidP="0069578D">
      <w:pPr>
        <w:pStyle w:val="NoSpacing"/>
        <w:spacing w:after="60"/>
        <w:jc w:val="center"/>
      </w:pPr>
    </w:p>
    <w:p w14:paraId="7E8A9368" w14:textId="07195C9D" w:rsidR="00CB073C" w:rsidRDefault="00CB073C" w:rsidP="0069578D">
      <w:pPr>
        <w:pStyle w:val="NoSpacing"/>
        <w:spacing w:after="60"/>
        <w:jc w:val="center"/>
      </w:pPr>
    </w:p>
    <w:p w14:paraId="5B7EAC52" w14:textId="77777777" w:rsidR="009605CE" w:rsidRPr="009605CE" w:rsidRDefault="009605CE" w:rsidP="009605CE">
      <w:pPr>
        <w:pStyle w:val="NoSpacing"/>
        <w:spacing w:after="120"/>
      </w:pPr>
      <w:r w:rsidRPr="009605CE">
        <w:t xml:space="preserve">Here we have the key terminology differences between the classification structure of GS and AcqDemo.  </w:t>
      </w:r>
    </w:p>
    <w:p w14:paraId="06A12B3A" w14:textId="77777777" w:rsidR="009605CE" w:rsidRDefault="009605CE" w:rsidP="009605CE">
      <w:pPr>
        <w:pStyle w:val="NoSpacing"/>
        <w:spacing w:after="120"/>
      </w:pPr>
      <w:r w:rsidRPr="009605CE">
        <w:t xml:space="preserve">In GS, similar series were grouped together in a career group, e.g. Accounting &amp; Budget Group (0500), Business &amp; Industry Group (1100), etc., and then pay set under the GS or other pay schedules for different possibilities.  Under AcqDemo, occupational series are grouped more by the role they play…business professional, technical management support and administrative support.  </w:t>
      </w:r>
    </w:p>
    <w:p w14:paraId="25A5B86E" w14:textId="0A414FDB" w:rsidR="009605CE" w:rsidRPr="009605CE" w:rsidRDefault="009605CE" w:rsidP="009605CE">
      <w:pPr>
        <w:pStyle w:val="NoSpacing"/>
        <w:spacing w:after="120"/>
      </w:pPr>
      <w:r w:rsidRPr="009605CE">
        <w:t>Our pay schedules have a one to one relationship with each of these career paths, NH to management, NJ to technical support and NK to admin support.  AcqDemo pay schedules do not provide for a different supervisory pay schedule, though the program does have a supervisor/team lead cash differential feature.</w:t>
      </w:r>
    </w:p>
    <w:p w14:paraId="61A12A5A" w14:textId="77777777" w:rsidR="009605CE" w:rsidRPr="009605CE" w:rsidRDefault="009605CE" w:rsidP="009605CE">
      <w:pPr>
        <w:pStyle w:val="NoSpacing"/>
        <w:spacing w:after="120"/>
      </w:pPr>
      <w:r w:rsidRPr="009605CE">
        <w:t>AcqDemo career paths contain 3-4 broadband levels.</w:t>
      </w:r>
    </w:p>
    <w:p w14:paraId="7EE2A917" w14:textId="77777777" w:rsidR="009605CE" w:rsidRPr="009605CE" w:rsidRDefault="009605CE" w:rsidP="009605CE">
      <w:pPr>
        <w:pStyle w:val="NoSpacing"/>
        <w:spacing w:after="120"/>
      </w:pPr>
      <w:r w:rsidRPr="009605CE">
        <w:t>Finally, your job description in AcqDemo is called a Position Requirements Document.</w:t>
      </w:r>
    </w:p>
    <w:p w14:paraId="587DD4DC" w14:textId="77777777" w:rsidR="009605CE" w:rsidRPr="009605CE" w:rsidRDefault="009605CE" w:rsidP="009605CE">
      <w:pPr>
        <w:pStyle w:val="NoSpacing"/>
        <w:spacing w:after="120"/>
      </w:pPr>
      <w:r w:rsidRPr="009605CE">
        <w:t>This chart shows a crosswalk of classification terminology from GS to AcqDemo.  The architecture of AcqDemo is simplified and designed specific to the acquisition workforce.</w:t>
      </w:r>
    </w:p>
    <w:p w14:paraId="73029ECA" w14:textId="77777777" w:rsidR="009605CE" w:rsidRDefault="009605CE" w:rsidP="009605CE">
      <w:pPr>
        <w:pStyle w:val="NoSpacing"/>
        <w:spacing w:after="120"/>
      </w:pPr>
    </w:p>
    <w:p w14:paraId="4468E4AB" w14:textId="77777777" w:rsidR="009605CE" w:rsidRDefault="009605CE">
      <w:pPr>
        <w:rPr>
          <w:rFonts w:asciiTheme="majorHAnsi" w:eastAsiaTheme="majorEastAsia" w:hAnsiTheme="majorHAnsi" w:cstheme="majorBidi"/>
          <w:b/>
          <w:bCs/>
          <w:color w:val="4F81BD" w:themeColor="accent1"/>
          <w:sz w:val="26"/>
          <w:szCs w:val="26"/>
        </w:rPr>
      </w:pPr>
      <w:r>
        <w:br w:type="page"/>
      </w:r>
    </w:p>
    <w:p w14:paraId="2872B4C3" w14:textId="6A94772E" w:rsidR="002D15AE" w:rsidRDefault="002D15AE" w:rsidP="002D15AE">
      <w:pPr>
        <w:pStyle w:val="Heading2"/>
      </w:pPr>
      <w:bookmarkStart w:id="4" w:name="_Toc510512461"/>
      <w:r>
        <w:lastRenderedPageBreak/>
        <w:t>GS to AcqDemo Classification Conversion</w:t>
      </w:r>
      <w:bookmarkEnd w:id="4"/>
    </w:p>
    <w:p w14:paraId="0970305C" w14:textId="3A3B9035" w:rsidR="008A4940" w:rsidRDefault="009605CE" w:rsidP="008A4940">
      <w:pPr>
        <w:spacing w:line="360" w:lineRule="auto"/>
        <w:jc w:val="center"/>
      </w:pPr>
      <w:r w:rsidRPr="009605CE">
        <w:rPr>
          <w:noProof/>
        </w:rPr>
        <w:drawing>
          <wp:inline distT="0" distB="0" distL="0" distR="0" wp14:anchorId="7C8A280C" wp14:editId="40A2D724">
            <wp:extent cx="4077730" cy="305829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4422" cy="3063317"/>
                    </a:xfrm>
                    <a:prstGeom prst="rect">
                      <a:avLst/>
                    </a:prstGeom>
                  </pic:spPr>
                </pic:pic>
              </a:graphicData>
            </a:graphic>
          </wp:inline>
        </w:drawing>
      </w:r>
    </w:p>
    <w:p w14:paraId="7A72F997" w14:textId="70163875" w:rsidR="009605CE" w:rsidRDefault="009605CE" w:rsidP="009605CE">
      <w:pPr>
        <w:spacing w:line="360" w:lineRule="auto"/>
      </w:pPr>
      <w:r>
        <w:t>The classification conversion process is automated based on the above criteria.</w:t>
      </w:r>
    </w:p>
    <w:p w14:paraId="1F80DBC3" w14:textId="6694D024" w:rsidR="002D15AE" w:rsidRDefault="002D15AE" w:rsidP="002D15AE">
      <w:pPr>
        <w:pStyle w:val="Heading2"/>
      </w:pPr>
      <w:bookmarkStart w:id="5" w:name="_Toc510512462"/>
      <w:r>
        <w:t>Broadbands</w:t>
      </w:r>
      <w:bookmarkEnd w:id="5"/>
    </w:p>
    <w:p w14:paraId="60B39C78" w14:textId="7B4290B8" w:rsidR="009605CE" w:rsidRDefault="009605CE" w:rsidP="008A4940">
      <w:pPr>
        <w:spacing w:line="360" w:lineRule="auto"/>
        <w:jc w:val="center"/>
      </w:pPr>
      <w:r w:rsidRPr="009605CE">
        <w:rPr>
          <w:noProof/>
        </w:rPr>
        <w:drawing>
          <wp:inline distT="0" distB="0" distL="0" distR="0" wp14:anchorId="43B6E4D8" wp14:editId="013608CC">
            <wp:extent cx="4287795" cy="3215846"/>
            <wp:effectExtent l="0" t="0" r="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4610" cy="3220957"/>
                    </a:xfrm>
                    <a:prstGeom prst="rect">
                      <a:avLst/>
                    </a:prstGeom>
                  </pic:spPr>
                </pic:pic>
              </a:graphicData>
            </a:graphic>
          </wp:inline>
        </w:drawing>
      </w:r>
    </w:p>
    <w:p w14:paraId="6EEA1F81" w14:textId="77777777" w:rsidR="009605CE" w:rsidRPr="009605CE" w:rsidRDefault="009605CE" w:rsidP="009605CE">
      <w:pPr>
        <w:pStyle w:val="NoSpacing"/>
        <w:rPr>
          <w:kern w:val="24"/>
        </w:rPr>
      </w:pPr>
      <w:r w:rsidRPr="009605CE">
        <w:rPr>
          <w:kern w:val="24"/>
        </w:rPr>
        <w:t xml:space="preserve">This chart provides a visual of the AcqDemo career paths, broadband levels and their associated basic pay ranges, along with the GS equivalents for reference.  </w:t>
      </w:r>
    </w:p>
    <w:p w14:paraId="5B4449F3" w14:textId="77777777" w:rsidR="00D74C0D" w:rsidRDefault="00D74C0D">
      <w:pPr>
        <w:rPr>
          <w:rFonts w:eastAsiaTheme="minorEastAsia"/>
          <w:kern w:val="24"/>
        </w:rPr>
      </w:pPr>
    </w:p>
    <w:p w14:paraId="33937180" w14:textId="2FC6866B" w:rsidR="002D15AE" w:rsidRDefault="002D15AE" w:rsidP="002D15AE">
      <w:pPr>
        <w:pStyle w:val="Heading2"/>
      </w:pPr>
      <w:bookmarkStart w:id="6" w:name="_Toc510512463"/>
      <w:r>
        <w:lastRenderedPageBreak/>
        <w:t>Conversion Pay Setting</w:t>
      </w:r>
      <w:bookmarkEnd w:id="6"/>
    </w:p>
    <w:p w14:paraId="5A2620CE" w14:textId="10FC213A" w:rsidR="00D74C0D" w:rsidRDefault="009605CE" w:rsidP="00D74C0D">
      <w:pPr>
        <w:spacing w:line="360" w:lineRule="auto"/>
        <w:jc w:val="center"/>
      </w:pPr>
      <w:r w:rsidRPr="009605CE">
        <w:rPr>
          <w:noProof/>
        </w:rPr>
        <w:drawing>
          <wp:inline distT="0" distB="0" distL="0" distR="0" wp14:anchorId="5A0BF705" wp14:editId="1810739B">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76B2998F" w14:textId="77777777" w:rsidR="009605CE" w:rsidRPr="009605CE" w:rsidRDefault="009605CE" w:rsidP="009605CE">
      <w:r w:rsidRPr="009605CE">
        <w:t>Within-Grade Increase (WGI) buy-in option is only available if hiring from a graded position in a pay system that offers WGIs or equivalent.</w:t>
      </w:r>
    </w:p>
    <w:p w14:paraId="3CB9FB49" w14:textId="77777777" w:rsidR="009605CE" w:rsidRPr="009605CE" w:rsidRDefault="009605CE" w:rsidP="009605CE">
      <w:r w:rsidRPr="009605CE">
        <w:t xml:space="preserve">Operating Procedures Reference: </w:t>
      </w:r>
    </w:p>
    <w:p w14:paraId="45E9EE92" w14:textId="77777777" w:rsidR="009605CE" w:rsidRPr="009605CE" w:rsidRDefault="009605CE" w:rsidP="009605CE">
      <w:r w:rsidRPr="009605CE">
        <w:t xml:space="preserve">2.10.1.1 Buy-ins </w:t>
      </w:r>
    </w:p>
    <w:p w14:paraId="3A7222B8" w14:textId="77777777" w:rsidR="009605CE" w:rsidRPr="009605CE" w:rsidRDefault="009605CE" w:rsidP="009605CE">
      <w:r w:rsidRPr="009605CE">
        <w:t xml:space="preserve">WGIs inherent in the GS system are discontinued under this demonstration project. In order to compensate employees equitably at the time of their organization’s initial conversion into AcqDemo, adjustments to the employees’ basic pay for a step increase and/or non-competitive career ladder promotion will be made. This process is known as a “buy-in.” </w:t>
      </w:r>
    </w:p>
    <w:p w14:paraId="47AAB1DA" w14:textId="77777777" w:rsidR="009605CE" w:rsidRPr="009605CE" w:rsidRDefault="009605CE" w:rsidP="009605CE">
      <w:r w:rsidRPr="009605CE">
        <w:t xml:space="preserve">2.10.1.2 Calculation </w:t>
      </w:r>
    </w:p>
    <w:p w14:paraId="7A75DD32" w14:textId="77777777" w:rsidR="009605CE" w:rsidRPr="009605CE" w:rsidRDefault="009605CE" w:rsidP="009605CE">
      <w:r w:rsidRPr="009605CE">
        <w:t xml:space="preserve">Specifically, “buy-in” adjustments to an employee’s basic pay for a step increase and/or a non-competitive career ladder promotion will be computed based on the organization’s implementation date, according to a prorated share computed upon the number of weeks an employee has completed towards the next higher step or grade. A week is considered to be in effect at 0001 hours on each Sunday. </w:t>
      </w:r>
    </w:p>
    <w:p w14:paraId="478A3B22" w14:textId="77777777" w:rsidR="002D15AE" w:rsidRDefault="002D15AE">
      <w:r>
        <w:br w:type="page"/>
      </w:r>
    </w:p>
    <w:p w14:paraId="16B3C1AD" w14:textId="6E1F72F6" w:rsidR="009605CE" w:rsidRPr="009605CE" w:rsidRDefault="009605CE" w:rsidP="009605CE">
      <w:r w:rsidRPr="009605CE">
        <w:lastRenderedPageBreak/>
        <w:t>2.10.1.3 Eligibility</w:t>
      </w:r>
    </w:p>
    <w:p w14:paraId="0919BCBA" w14:textId="77777777" w:rsidR="009605CE" w:rsidRPr="009605CE" w:rsidRDefault="009605CE" w:rsidP="009605CE">
      <w:r w:rsidRPr="009605CE">
        <w:t>Employees will not be eligible for the WGI buy-in if their current rating of record is unacceptable at the time of conversion, are at step 10, or are receiving retained pay at the time of conversion will not be eligible for a WGI buy-in. An employee on retained pay whose basic pay exceeds the maximum basic pay of the broadband level (as determined by the employee’s grade) is not eligible for a buy-in adjustment. As such, an employee’s rate of basic pay remains the same under AcqDemo as it was previously. Employees on retained grade at the time of conversion into AcqDemo will receive a "buy-in" for their within-grade increase provided they would have received a WGI prior to expiration of their retained grade. Their basic pay will then be set at that rate in the career path and broadband level for their position of record. Employees on grade retention at the time of conversion transition into AcqDemo who would not receive a WGI prior to expiration of their grade retention will not receive a buy-in for their WGI. Their basic pay will be set at the rate in the broadband for their position of record. Employees whose pay exceeds the top rate of the broadband level will have their pay retained.</w:t>
      </w:r>
    </w:p>
    <w:p w14:paraId="3B69EBDC" w14:textId="77777777" w:rsidR="009605CE" w:rsidRPr="009605CE" w:rsidRDefault="009605CE" w:rsidP="009605CE">
      <w:r w:rsidRPr="009605CE">
        <w:t>2.10.2 Career Ladder Promotions</w:t>
      </w:r>
    </w:p>
    <w:p w14:paraId="698A2AEA" w14:textId="77777777" w:rsidR="009605CE" w:rsidRPr="009605CE" w:rsidRDefault="009605CE" w:rsidP="009605CE">
      <w:r w:rsidRPr="009605CE">
        <w:t xml:space="preserve">Similar computation applies for career ladder promotion buy-in. If both the step increase and the career ladder buy-in apply, calculate the step increase buy-in first, and then calculate the career ladder buy-in. For employees whose special rate exceeds their locality rate, the pay conversion will be processed first to derive a new rate of basic pay under the demonstration. Next, the WGI/career ladder promotion buy-in adjustment is added to the new rate. (This processing sequence is significant because it yields a higher rate of basic pay under the demonstration than the reverse sequence would.) </w:t>
      </w:r>
    </w:p>
    <w:p w14:paraId="749D4499" w14:textId="77777777" w:rsidR="009605CE" w:rsidRPr="009605CE" w:rsidRDefault="009605CE" w:rsidP="009605CE">
      <w:r w:rsidRPr="009605CE">
        <w:t xml:space="preserve">2.10.2.1 Career Ladder promotion buy-in may cause an employee’s rate of basic pay under the demonstration project to exceed the top of the broadband level corresponding to the employee’s pre-demonstration project permanent grade. If the employee’s rate of basic pay exceeds the maximum rate of basic pay for the broadband level containing the employee’s GS grade, the employee will remain at that broadband level and will receive a retained rate </w:t>
      </w:r>
    </w:p>
    <w:p w14:paraId="6FB2C3E6" w14:textId="522DF010" w:rsidR="00D74C0D" w:rsidRDefault="009605CE" w:rsidP="009605CE">
      <w:r w:rsidRPr="009605CE">
        <w:t xml:space="preserve">2.10.2.2 For employees on career ladder positions, no within-grade increase (WGI) equity adjustment will be made if the employee’s basic pay is adjusted for a promotion that would be effective before the next scheduled WGI. </w:t>
      </w:r>
      <w:r w:rsidR="00D74C0D" w:rsidRPr="009C78AC">
        <w:br w:type="page"/>
      </w:r>
    </w:p>
    <w:p w14:paraId="5685BE87" w14:textId="32F226BB" w:rsidR="002D15AE" w:rsidRDefault="002D15AE" w:rsidP="002D15AE">
      <w:pPr>
        <w:pStyle w:val="Heading2"/>
      </w:pPr>
      <w:bookmarkStart w:id="7" w:name="_Toc510512464"/>
      <w:r>
        <w:lastRenderedPageBreak/>
        <w:t>Position Requirements Documents (PRD)</w:t>
      </w:r>
      <w:bookmarkEnd w:id="7"/>
    </w:p>
    <w:p w14:paraId="381251C1" w14:textId="1D0B5342" w:rsidR="00D74C0D" w:rsidRDefault="009605CE" w:rsidP="00D74C0D">
      <w:pPr>
        <w:spacing w:line="360" w:lineRule="auto"/>
        <w:jc w:val="center"/>
      </w:pPr>
      <w:r w:rsidRPr="009605CE">
        <w:rPr>
          <w:noProof/>
        </w:rPr>
        <w:drawing>
          <wp:inline distT="0" distB="0" distL="0" distR="0" wp14:anchorId="57CCAFA9" wp14:editId="627BD67C">
            <wp:extent cx="4572396" cy="342929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2B0517E8" w14:textId="65B5A86E" w:rsidR="00051168" w:rsidRDefault="00051168" w:rsidP="009605CE">
      <w:pPr>
        <w:spacing w:line="360" w:lineRule="auto"/>
      </w:pPr>
      <w:r w:rsidRPr="009605CE">
        <w:t xml:space="preserve">AcqDemo utilizes a Position Requirements Document (PRD) in place of a Position Description. </w:t>
      </w:r>
      <w:r>
        <w:t xml:space="preserve"> </w:t>
      </w:r>
      <w:r w:rsidRPr="00051168">
        <w:t>Under the demonstration project’s classification system, a position requirements document (PRD) combines the position information; staffing requirements; factors, descriptors, and discriminators; expected contribution  criteria for the assigned broadband level; and position evaluation statement into a single document.</w:t>
      </w:r>
    </w:p>
    <w:p w14:paraId="73C6141E" w14:textId="6108D5F6" w:rsidR="00051168" w:rsidRDefault="00051168" w:rsidP="009605CE">
      <w:pPr>
        <w:spacing w:line="360" w:lineRule="auto"/>
      </w:pPr>
      <w:r w:rsidRPr="009605CE">
        <w:t xml:space="preserve">This normally requires preparation of a new PRD for each position at the time of conversion to AcqDemo. Fillable templates have been developed for each career path and broadband and may be used in conjunction with a participating organization’s PRDs as determined by the participating organization. </w:t>
      </w:r>
    </w:p>
    <w:p w14:paraId="6D7861C7" w14:textId="7D5937EC" w:rsidR="009605CE" w:rsidRDefault="009605CE" w:rsidP="009605CE">
      <w:pPr>
        <w:spacing w:line="360" w:lineRule="auto"/>
      </w:pPr>
      <w:r w:rsidRPr="009605CE">
        <w:t xml:space="preserve">The objectives in developing the PRD are to: (a) Simplify the descriptions and the preparation process through automation; (b) provide more flexibility in work assignments; and (c) provide a more useful tool for other functions of personnel management, </w:t>
      </w:r>
      <w:r w:rsidRPr="009605CE">
        <w:rPr>
          <w:i/>
          <w:iCs/>
        </w:rPr>
        <w:t>e.g.,</w:t>
      </w:r>
      <w:r w:rsidRPr="009605CE">
        <w:t xml:space="preserve"> recruitment, assessment of contribution, employee development, and reduction in force.</w:t>
      </w:r>
    </w:p>
    <w:p w14:paraId="62C36500" w14:textId="7D068C09" w:rsidR="009969E0" w:rsidRDefault="009969E0">
      <w:r>
        <w:br w:type="page"/>
      </w:r>
    </w:p>
    <w:p w14:paraId="299BFE7E" w14:textId="39BDC07E" w:rsidR="002D15AE" w:rsidRDefault="002D15AE" w:rsidP="002D15AE">
      <w:pPr>
        <w:pStyle w:val="Heading2"/>
      </w:pPr>
      <w:bookmarkStart w:id="8" w:name="_Toc510512465"/>
      <w:r>
        <w:lastRenderedPageBreak/>
        <w:t>Maximum Broadband Level</w:t>
      </w:r>
      <w:bookmarkEnd w:id="8"/>
    </w:p>
    <w:p w14:paraId="7F3729B4" w14:textId="0EC4A935" w:rsidR="009969E0" w:rsidRDefault="009969E0" w:rsidP="009969E0">
      <w:pPr>
        <w:spacing w:line="360" w:lineRule="auto"/>
        <w:jc w:val="center"/>
      </w:pPr>
      <w:r w:rsidRPr="009969E0">
        <w:rPr>
          <w:noProof/>
        </w:rPr>
        <w:drawing>
          <wp:inline distT="0" distB="0" distL="0" distR="0" wp14:anchorId="5615AF4A" wp14:editId="18F281B4">
            <wp:extent cx="4572396" cy="342929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6FE7F8F1" w14:textId="77777777" w:rsidR="00E222D0" w:rsidRPr="0022736C" w:rsidRDefault="00E222D0" w:rsidP="0022736C">
      <w:pPr>
        <w:spacing w:line="360" w:lineRule="auto"/>
      </w:pPr>
      <w:r w:rsidRPr="0022736C">
        <w:t>Federal Register notice, Section II.A.7 and Operating Guide, Chapter 3, paragraph 3.8.</w:t>
      </w:r>
    </w:p>
    <w:p w14:paraId="314629D7" w14:textId="77777777" w:rsidR="00E222D0" w:rsidRPr="0022736C" w:rsidRDefault="00E222D0" w:rsidP="009832E4">
      <w:pPr>
        <w:numPr>
          <w:ilvl w:val="0"/>
          <w:numId w:val="1"/>
        </w:numPr>
        <w:spacing w:line="360" w:lineRule="auto"/>
      </w:pPr>
      <w:r w:rsidRPr="0022736C">
        <w:t>Commonly known as “target grade” or “full-performance level” under the General Schedule.</w:t>
      </w:r>
    </w:p>
    <w:p w14:paraId="6BBFF358" w14:textId="77777777" w:rsidR="00E222D0" w:rsidRPr="0022736C" w:rsidRDefault="00E222D0" w:rsidP="009832E4">
      <w:pPr>
        <w:numPr>
          <w:ilvl w:val="0"/>
          <w:numId w:val="1"/>
        </w:numPr>
        <w:spacing w:line="360" w:lineRule="auto"/>
      </w:pPr>
      <w:r w:rsidRPr="0022736C">
        <w:t xml:space="preserve">Each position under the demonstration project has a designated maximum broadband level. </w:t>
      </w:r>
    </w:p>
    <w:p w14:paraId="3DE779CB" w14:textId="77777777" w:rsidR="00E222D0" w:rsidRPr="0022736C" w:rsidRDefault="00E222D0" w:rsidP="009832E4">
      <w:pPr>
        <w:numPr>
          <w:ilvl w:val="0"/>
          <w:numId w:val="1"/>
        </w:numPr>
        <w:spacing w:line="360" w:lineRule="auto"/>
      </w:pPr>
      <w:r w:rsidRPr="0022736C">
        <w:t>This maximum broadband level will be identified as the top broadband level within a career path for a particular position and the broadband level to which an incumbent, selected competitively or through merit promotion for a lower broadband level, may be advanced without further competition.</w:t>
      </w:r>
    </w:p>
    <w:p w14:paraId="74384047" w14:textId="77777777" w:rsidR="00E222D0" w:rsidRPr="0022736C" w:rsidRDefault="00E222D0" w:rsidP="009832E4">
      <w:pPr>
        <w:numPr>
          <w:ilvl w:val="0"/>
          <w:numId w:val="1"/>
        </w:numPr>
        <w:spacing w:line="360" w:lineRule="auto"/>
      </w:pPr>
      <w:r w:rsidRPr="0022736C">
        <w:t>These broadband levels will be based upon the full performance levels of positions before conversion into AcqDemo. After conversion a newly created or re-described AcqDemo position may be assigned a different maximum broadband level based on the AcqDemo organization’s position management structure, change in mission, reorganization, and similar factors.</w:t>
      </w:r>
    </w:p>
    <w:p w14:paraId="2D06D456" w14:textId="77777777" w:rsidR="00E222D0" w:rsidRPr="0022736C" w:rsidRDefault="00E222D0" w:rsidP="009832E4">
      <w:pPr>
        <w:numPr>
          <w:ilvl w:val="0"/>
          <w:numId w:val="1"/>
        </w:numPr>
        <w:spacing w:line="360" w:lineRule="auto"/>
      </w:pPr>
      <w:r w:rsidRPr="0022736C">
        <w:t>Maximum broadband levels may vary based upon occupation or career path. An employee’s base pay will be capped at the maximum rate for the current broadband level until the employee has been promoted into the next higher broadband level.</w:t>
      </w:r>
    </w:p>
    <w:p w14:paraId="37204DC7" w14:textId="1EEE26A0" w:rsidR="008A4940" w:rsidRDefault="009E3FE4" w:rsidP="009E3FE4">
      <w:pPr>
        <w:pStyle w:val="Heading1"/>
      </w:pPr>
      <w:bookmarkStart w:id="9" w:name="_Toc510512466"/>
      <w:r>
        <w:lastRenderedPageBreak/>
        <w:t xml:space="preserve">Chapter 2:  </w:t>
      </w:r>
      <w:r w:rsidR="0022736C">
        <w:t>Participating Organization Management Structure</w:t>
      </w:r>
      <w:bookmarkEnd w:id="9"/>
    </w:p>
    <w:p w14:paraId="6D5494F2" w14:textId="0AEDC190" w:rsidR="008A4940" w:rsidRDefault="0022736C" w:rsidP="008A4940">
      <w:pPr>
        <w:spacing w:line="360" w:lineRule="auto"/>
        <w:jc w:val="center"/>
      </w:pPr>
      <w:r w:rsidRPr="0022736C">
        <w:rPr>
          <w:noProof/>
        </w:rPr>
        <w:drawing>
          <wp:inline distT="0" distB="0" distL="0" distR="0" wp14:anchorId="40A3ED31" wp14:editId="6BCF4DEF">
            <wp:extent cx="4572396" cy="3429297"/>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1C785F5C" w14:textId="60329D03" w:rsidR="0022736C" w:rsidRPr="00566FBA" w:rsidRDefault="00566FBA">
      <w:pPr>
        <w:rPr>
          <w:rFonts w:cstheme="minorHAnsi"/>
          <w:color w:val="000000"/>
        </w:rPr>
      </w:pPr>
      <w:r>
        <w:rPr>
          <w:rFonts w:cstheme="minorHAnsi"/>
          <w:color w:val="000000"/>
        </w:rPr>
        <w:t xml:space="preserve">Each participating DoD activity is required to </w:t>
      </w:r>
      <w:r w:rsidRPr="00267012">
        <w:rPr>
          <w:rFonts w:cstheme="minorHAnsi"/>
          <w:color w:val="000000"/>
        </w:rPr>
        <w:t xml:space="preserve">establish a </w:t>
      </w:r>
      <w:r w:rsidRPr="00267012">
        <w:rPr>
          <w:rFonts w:cstheme="minorHAnsi"/>
          <w:b/>
          <w:color w:val="000000"/>
        </w:rPr>
        <w:t>Personnel Policy Board</w:t>
      </w:r>
      <w:r w:rsidRPr="00267012">
        <w:rPr>
          <w:rFonts w:cstheme="minorHAnsi"/>
          <w:color w:val="000000"/>
        </w:rPr>
        <w:t xml:space="preserve"> </w:t>
      </w:r>
      <w:r>
        <w:rPr>
          <w:rFonts w:cstheme="minorHAnsi"/>
          <w:b/>
          <w:color w:val="000000"/>
        </w:rPr>
        <w:t xml:space="preserve">(PPB) </w:t>
      </w:r>
      <w:r w:rsidRPr="00267012">
        <w:rPr>
          <w:rFonts w:cstheme="minorHAnsi"/>
          <w:color w:val="000000"/>
        </w:rPr>
        <w:t>for the demonstration project</w:t>
      </w:r>
      <w:r>
        <w:rPr>
          <w:rFonts w:cstheme="minorHAnsi"/>
          <w:color w:val="000000"/>
        </w:rPr>
        <w:t xml:space="preserve">, </w:t>
      </w:r>
      <w:r w:rsidRPr="00267012">
        <w:rPr>
          <w:rFonts w:cstheme="minorHAnsi"/>
          <w:color w:val="000000"/>
        </w:rPr>
        <w:t>or modify the charter of an existing group.</w:t>
      </w:r>
      <w:r>
        <w:rPr>
          <w:rFonts w:cstheme="minorHAnsi"/>
          <w:color w:val="000000"/>
        </w:rPr>
        <w:t xml:space="preserve">  This Board </w:t>
      </w:r>
      <w:r w:rsidRPr="00267012">
        <w:rPr>
          <w:rFonts w:cstheme="minorHAnsi"/>
          <w:color w:val="000000"/>
        </w:rPr>
        <w:t xml:space="preserve">will consist of the senior civilian in each </w:t>
      </w:r>
      <w:r>
        <w:rPr>
          <w:rFonts w:cstheme="minorHAnsi"/>
          <w:color w:val="000000"/>
        </w:rPr>
        <w:t>major o</w:t>
      </w:r>
      <w:r w:rsidRPr="00267012">
        <w:rPr>
          <w:rFonts w:cstheme="minorHAnsi"/>
          <w:color w:val="000000"/>
        </w:rPr>
        <w:t xml:space="preserve">ffice and </w:t>
      </w:r>
      <w:r>
        <w:rPr>
          <w:rFonts w:cstheme="minorHAnsi"/>
          <w:color w:val="000000"/>
        </w:rPr>
        <w:t>d</w:t>
      </w:r>
      <w:r w:rsidRPr="00267012">
        <w:rPr>
          <w:rFonts w:cstheme="minorHAnsi"/>
          <w:color w:val="000000"/>
        </w:rPr>
        <w:t xml:space="preserve">irectorate within the </w:t>
      </w:r>
      <w:r>
        <w:rPr>
          <w:rFonts w:cstheme="minorHAnsi"/>
          <w:color w:val="000000"/>
        </w:rPr>
        <w:t>activity</w:t>
      </w:r>
      <w:r w:rsidRPr="00267012">
        <w:rPr>
          <w:rFonts w:cstheme="minorHAnsi"/>
          <w:color w:val="000000"/>
        </w:rPr>
        <w:t xml:space="preserve"> and be chaired by the </w:t>
      </w:r>
      <w:r>
        <w:rPr>
          <w:rFonts w:cstheme="minorHAnsi"/>
          <w:color w:val="000000"/>
        </w:rPr>
        <w:t>Commander/</w:t>
      </w:r>
      <w:r w:rsidRPr="00267012">
        <w:rPr>
          <w:rFonts w:cstheme="minorHAnsi"/>
          <w:color w:val="000000"/>
        </w:rPr>
        <w:t>Director</w:t>
      </w:r>
      <w:r>
        <w:rPr>
          <w:rFonts w:cstheme="minorHAnsi"/>
          <w:color w:val="000000"/>
        </w:rPr>
        <w:t>.</w:t>
      </w:r>
      <w:r w:rsidRPr="00267012">
        <w:rPr>
          <w:rFonts w:cstheme="minorHAnsi"/>
          <w:color w:val="000000"/>
        </w:rPr>
        <w:t xml:space="preserve"> The</w:t>
      </w:r>
      <w:r>
        <w:rPr>
          <w:rFonts w:cstheme="minorHAnsi"/>
          <w:color w:val="000000"/>
        </w:rPr>
        <w:t xml:space="preserve"> PPB’s</w:t>
      </w:r>
      <w:r w:rsidRPr="00267012">
        <w:rPr>
          <w:rFonts w:cstheme="minorHAnsi"/>
          <w:color w:val="000000"/>
        </w:rPr>
        <w:t xml:space="preserve"> areas of re</w:t>
      </w:r>
      <w:r>
        <w:rPr>
          <w:rFonts w:cstheme="minorHAnsi"/>
          <w:color w:val="000000"/>
        </w:rPr>
        <w:t>spons</w:t>
      </w:r>
      <w:r w:rsidRPr="00267012">
        <w:rPr>
          <w:rFonts w:cstheme="minorHAnsi"/>
          <w:color w:val="000000"/>
        </w:rPr>
        <w:t>ibility are listed above.</w:t>
      </w:r>
      <w:r w:rsidR="0022736C">
        <w:br w:type="page"/>
      </w:r>
    </w:p>
    <w:p w14:paraId="5EE8B5F0" w14:textId="55BD24D7" w:rsidR="00721695" w:rsidRDefault="00721695" w:rsidP="00860AD6">
      <w:pPr>
        <w:pStyle w:val="Heading3"/>
      </w:pPr>
      <w:bookmarkStart w:id="10" w:name="_Toc510512467"/>
      <w:r>
        <w:lastRenderedPageBreak/>
        <w:t>Organization Management Structure Decisions</w:t>
      </w:r>
      <w:bookmarkEnd w:id="10"/>
    </w:p>
    <w:p w14:paraId="7D461BEE" w14:textId="5920EB1E" w:rsidR="0022736C" w:rsidRDefault="0022736C" w:rsidP="0022736C">
      <w:pPr>
        <w:spacing w:line="360" w:lineRule="auto"/>
        <w:jc w:val="center"/>
      </w:pPr>
      <w:r w:rsidRPr="0022736C">
        <w:rPr>
          <w:noProof/>
        </w:rPr>
        <w:drawing>
          <wp:inline distT="0" distB="0" distL="0" distR="0" wp14:anchorId="1DCD5C3E" wp14:editId="6A587A8E">
            <wp:extent cx="4572396" cy="3429297"/>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14:paraId="34E26515" w14:textId="77777777" w:rsidR="0022736C" w:rsidRDefault="0022736C" w:rsidP="0022736C">
      <w:pPr>
        <w:spacing w:line="360" w:lineRule="auto"/>
      </w:pPr>
      <w:r>
        <w:t>NOTES:</w:t>
      </w:r>
    </w:p>
    <w:p w14:paraId="6C4CA467" w14:textId="77777777" w:rsidR="0022736C" w:rsidRDefault="0022736C"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4BF216" w14:textId="77777777" w:rsidR="0022736C" w:rsidRDefault="0022736C"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931AC6" w14:textId="77777777" w:rsidR="0022736C" w:rsidRDefault="0022736C"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76DD2B" w14:textId="77777777" w:rsidR="0022736C" w:rsidRDefault="0022736C"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40FA026" w14:textId="77777777" w:rsidR="0022736C" w:rsidRDefault="0022736C"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7FB05D" w14:textId="32F0116B" w:rsidR="0022736C" w:rsidRDefault="0022736C"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ED902D3" w14:textId="1B49C49C" w:rsidR="004A2646" w:rsidRDefault="004A2646"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08654B" w14:textId="3D84633D" w:rsidR="004A2646" w:rsidRDefault="004A2646"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DFF993" w14:textId="4AEBA7E4" w:rsidR="004A2646" w:rsidRDefault="004A2646"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D94A3C1" w14:textId="1197E5EB" w:rsidR="004A2646" w:rsidRPr="009605CE" w:rsidRDefault="004A2646" w:rsidP="0022736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4B30B5" w14:textId="77777777" w:rsidR="0022736C" w:rsidRDefault="0022736C" w:rsidP="0022736C">
      <w:pPr>
        <w:spacing w:line="360" w:lineRule="auto"/>
      </w:pPr>
    </w:p>
    <w:p w14:paraId="1AF6E9B0" w14:textId="4B3AF587" w:rsidR="00A6026A" w:rsidRDefault="000B7426" w:rsidP="000B7426">
      <w:pPr>
        <w:pStyle w:val="Heading1"/>
      </w:pPr>
      <w:bookmarkStart w:id="11" w:name="_Toc510512468"/>
      <w:r>
        <w:lastRenderedPageBreak/>
        <w:t>Chapter 3: Pay Administration Considerations</w:t>
      </w:r>
      <w:bookmarkEnd w:id="11"/>
    </w:p>
    <w:p w14:paraId="0D6FB9D7" w14:textId="4301B57C" w:rsidR="00A6026A" w:rsidRDefault="000B7426" w:rsidP="00A6026A">
      <w:pPr>
        <w:spacing w:line="360" w:lineRule="auto"/>
        <w:jc w:val="center"/>
      </w:pPr>
      <w:r w:rsidRPr="000B7426">
        <w:rPr>
          <w:noProof/>
        </w:rPr>
        <w:drawing>
          <wp:inline distT="0" distB="0" distL="0" distR="0" wp14:anchorId="339C1EF4" wp14:editId="075C465E">
            <wp:extent cx="4572396" cy="3429297"/>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105DB536" w14:textId="77777777" w:rsidR="000B7426" w:rsidRDefault="000B7426">
      <w:pPr>
        <w:rPr>
          <w:rStyle w:val="Strong"/>
          <w:rFonts w:eastAsiaTheme="minorEastAsia" w:cstheme="minorHAnsi"/>
          <w:b w:val="0"/>
          <w:color w:val="000000"/>
        </w:rPr>
      </w:pPr>
      <w:r>
        <w:rPr>
          <w:rStyle w:val="Strong"/>
          <w:rFonts w:eastAsiaTheme="minorEastAsia" w:cstheme="minorHAnsi"/>
          <w:b w:val="0"/>
        </w:rPr>
        <w:br w:type="page"/>
      </w:r>
    </w:p>
    <w:p w14:paraId="12DA3536" w14:textId="3130A9D5" w:rsidR="0054131B" w:rsidRDefault="0054131B" w:rsidP="0054131B">
      <w:pPr>
        <w:pStyle w:val="Heading2"/>
      </w:pPr>
      <w:bookmarkStart w:id="12" w:name="_Toc510512469"/>
      <w:r>
        <w:lastRenderedPageBreak/>
        <w:t xml:space="preserve">Compensation </w:t>
      </w:r>
      <w:r w:rsidR="004A2646">
        <w:t>Management</w:t>
      </w:r>
      <w:bookmarkEnd w:id="12"/>
    </w:p>
    <w:p w14:paraId="5FCF35F4" w14:textId="2F0ADD97" w:rsidR="000B7426" w:rsidRDefault="000B7426" w:rsidP="000B7426">
      <w:pPr>
        <w:pStyle w:val="NormalWeb"/>
        <w:jc w:val="center"/>
        <w:rPr>
          <w:rStyle w:val="Strong"/>
          <w:rFonts w:asciiTheme="minorHAnsi" w:eastAsiaTheme="minorEastAsia" w:hAnsiTheme="minorHAnsi" w:cstheme="minorHAnsi"/>
          <w:b w:val="0"/>
          <w:sz w:val="22"/>
          <w:szCs w:val="22"/>
        </w:rPr>
      </w:pPr>
      <w:r w:rsidRPr="000B7426">
        <w:rPr>
          <w:rStyle w:val="Strong"/>
          <w:rFonts w:asciiTheme="minorHAnsi" w:eastAsiaTheme="minorEastAsia" w:hAnsiTheme="minorHAnsi" w:cstheme="minorHAnsi"/>
          <w:b w:val="0"/>
          <w:noProof/>
          <w:sz w:val="22"/>
          <w:szCs w:val="22"/>
        </w:rPr>
        <w:drawing>
          <wp:inline distT="0" distB="0" distL="0" distR="0" wp14:anchorId="32C4FE1E" wp14:editId="4A559033">
            <wp:extent cx="4572396" cy="3429297"/>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123929BA" w14:textId="77E6797A" w:rsidR="00AD6E7D" w:rsidRPr="00674FD3" w:rsidRDefault="003F0D3A" w:rsidP="000B7426">
      <w:pPr>
        <w:pStyle w:val="NormalWeb"/>
        <w:rPr>
          <w:rFonts w:asciiTheme="minorHAnsi" w:hAnsiTheme="minorHAnsi" w:cstheme="minorHAnsi"/>
          <w:sz w:val="22"/>
          <w:szCs w:val="22"/>
        </w:rPr>
      </w:pPr>
      <w:r>
        <w:rPr>
          <w:rStyle w:val="Strong"/>
          <w:rFonts w:asciiTheme="minorHAnsi" w:eastAsiaTheme="minorEastAsia" w:hAnsiTheme="minorHAnsi" w:cstheme="minorHAnsi"/>
          <w:b w:val="0"/>
          <w:sz w:val="22"/>
          <w:szCs w:val="22"/>
        </w:rPr>
        <w:t>The</w:t>
      </w:r>
      <w:r w:rsidR="00966C0D">
        <w:rPr>
          <w:rStyle w:val="Strong"/>
          <w:rFonts w:asciiTheme="minorHAnsi" w:eastAsiaTheme="minorEastAsia" w:hAnsiTheme="minorHAnsi" w:cstheme="minorHAnsi"/>
          <w:sz w:val="22"/>
          <w:szCs w:val="22"/>
        </w:rPr>
        <w:t xml:space="preserve"> </w:t>
      </w:r>
      <w:r w:rsidR="00AD6E7D" w:rsidRPr="00674FD3">
        <w:rPr>
          <w:rStyle w:val="Strong"/>
          <w:rFonts w:asciiTheme="minorHAnsi" w:eastAsiaTheme="minorEastAsia" w:hAnsiTheme="minorHAnsi" w:cstheme="minorHAnsi"/>
          <w:sz w:val="22"/>
          <w:szCs w:val="22"/>
        </w:rPr>
        <w:t>Compensation Strategy</w:t>
      </w:r>
      <w:r w:rsidR="00AD6E7D" w:rsidRPr="00674FD3">
        <w:rPr>
          <w:rFonts w:asciiTheme="minorHAnsi" w:hAnsiTheme="minorHAnsi" w:cstheme="minorHAnsi"/>
          <w:sz w:val="22"/>
          <w:szCs w:val="22"/>
        </w:rPr>
        <w:t xml:space="preserve"> is one of the most important strategies in </w:t>
      </w:r>
      <w:r>
        <w:rPr>
          <w:rFonts w:asciiTheme="minorHAnsi" w:hAnsiTheme="minorHAnsi" w:cstheme="minorHAnsi"/>
          <w:sz w:val="22"/>
          <w:szCs w:val="22"/>
        </w:rPr>
        <w:t>an</w:t>
      </w:r>
      <w:r w:rsidR="00AD6E7D">
        <w:rPr>
          <w:rFonts w:asciiTheme="minorHAnsi" w:hAnsiTheme="minorHAnsi" w:cstheme="minorHAnsi"/>
          <w:sz w:val="22"/>
          <w:szCs w:val="22"/>
        </w:rPr>
        <w:t xml:space="preserve"> organization </w:t>
      </w:r>
      <w:r>
        <w:rPr>
          <w:rFonts w:asciiTheme="minorHAnsi" w:hAnsiTheme="minorHAnsi" w:cstheme="minorHAnsi"/>
          <w:sz w:val="22"/>
          <w:szCs w:val="22"/>
        </w:rPr>
        <w:t>since</w:t>
      </w:r>
      <w:r w:rsidR="00AD6E7D" w:rsidRPr="00674FD3">
        <w:rPr>
          <w:rFonts w:asciiTheme="minorHAnsi" w:hAnsiTheme="minorHAnsi" w:cstheme="minorHAnsi"/>
          <w:sz w:val="22"/>
          <w:szCs w:val="22"/>
        </w:rPr>
        <w:t xml:space="preserve"> it influences the costs of the organization</w:t>
      </w:r>
      <w:r>
        <w:rPr>
          <w:rFonts w:asciiTheme="minorHAnsi" w:hAnsiTheme="minorHAnsi" w:cstheme="minorHAnsi"/>
          <w:sz w:val="22"/>
          <w:szCs w:val="22"/>
        </w:rPr>
        <w:t xml:space="preserve"> and can significantly impact mission achievement</w:t>
      </w:r>
      <w:r w:rsidR="00C45486">
        <w:rPr>
          <w:rFonts w:asciiTheme="minorHAnsi" w:hAnsiTheme="minorHAnsi" w:cstheme="minorHAnsi"/>
          <w:sz w:val="22"/>
          <w:szCs w:val="22"/>
        </w:rPr>
        <w:t>.  P</w:t>
      </w:r>
      <w:r w:rsidR="00966C0D">
        <w:rPr>
          <w:rFonts w:asciiTheme="minorHAnsi" w:hAnsiTheme="minorHAnsi" w:cstheme="minorHAnsi"/>
          <w:sz w:val="22"/>
          <w:szCs w:val="22"/>
        </w:rPr>
        <w:t>oor</w:t>
      </w:r>
      <w:r w:rsidR="00AD6E7D" w:rsidRPr="00674FD3">
        <w:rPr>
          <w:rFonts w:asciiTheme="minorHAnsi" w:hAnsiTheme="minorHAnsi" w:cstheme="minorHAnsi"/>
          <w:sz w:val="22"/>
          <w:szCs w:val="22"/>
        </w:rPr>
        <w:t xml:space="preserve"> decision</w:t>
      </w:r>
      <w:r w:rsidR="00AD6E7D">
        <w:rPr>
          <w:rFonts w:asciiTheme="minorHAnsi" w:hAnsiTheme="minorHAnsi" w:cstheme="minorHAnsi"/>
          <w:sz w:val="22"/>
          <w:szCs w:val="22"/>
        </w:rPr>
        <w:t>s</w:t>
      </w:r>
      <w:r w:rsidR="00AD6E7D" w:rsidRPr="00674FD3">
        <w:rPr>
          <w:rFonts w:asciiTheme="minorHAnsi" w:hAnsiTheme="minorHAnsi" w:cstheme="minorHAnsi"/>
          <w:sz w:val="22"/>
          <w:szCs w:val="22"/>
        </w:rPr>
        <w:t xml:space="preserve"> can lead to serious </w:t>
      </w:r>
      <w:r w:rsidR="00AD6E7D">
        <w:rPr>
          <w:rFonts w:asciiTheme="minorHAnsi" w:hAnsiTheme="minorHAnsi" w:cstheme="minorHAnsi"/>
          <w:sz w:val="22"/>
          <w:szCs w:val="22"/>
        </w:rPr>
        <w:t xml:space="preserve">budgetary issues for </w:t>
      </w:r>
      <w:r w:rsidR="00AD6E7D" w:rsidRPr="00674FD3">
        <w:rPr>
          <w:rFonts w:asciiTheme="minorHAnsi" w:hAnsiTheme="minorHAnsi" w:cstheme="minorHAnsi"/>
          <w:sz w:val="22"/>
          <w:szCs w:val="22"/>
        </w:rPr>
        <w:t>the organization.</w:t>
      </w:r>
    </w:p>
    <w:p w14:paraId="36027606" w14:textId="7093111D" w:rsidR="00AD6E7D" w:rsidRDefault="00AD6E7D" w:rsidP="00AD6E7D">
      <w:pPr>
        <w:pStyle w:val="NormalWeb"/>
        <w:rPr>
          <w:rFonts w:asciiTheme="minorHAnsi" w:hAnsiTheme="minorHAnsi" w:cstheme="minorHAnsi"/>
          <w:sz w:val="22"/>
          <w:szCs w:val="22"/>
        </w:rPr>
      </w:pPr>
      <w:r w:rsidRPr="009C3D9B">
        <w:rPr>
          <w:rFonts w:asciiTheme="minorHAnsi" w:hAnsiTheme="minorHAnsi" w:cstheme="minorHAnsi"/>
          <w:sz w:val="22"/>
          <w:szCs w:val="22"/>
        </w:rPr>
        <w:t xml:space="preserve">The main objective of </w:t>
      </w:r>
      <w:r w:rsidR="00966C0D">
        <w:rPr>
          <w:rFonts w:asciiTheme="minorHAnsi" w:hAnsiTheme="minorHAnsi" w:cstheme="minorHAnsi"/>
          <w:sz w:val="22"/>
          <w:szCs w:val="22"/>
        </w:rPr>
        <w:t xml:space="preserve">a </w:t>
      </w:r>
      <w:r w:rsidRPr="009C3D9B">
        <w:rPr>
          <w:rFonts w:asciiTheme="minorHAnsi" w:hAnsiTheme="minorHAnsi" w:cstheme="minorHAnsi"/>
          <w:sz w:val="22"/>
          <w:szCs w:val="22"/>
        </w:rPr>
        <w:t xml:space="preserve">compensation strategy is to give the right rewards for the right employee </w:t>
      </w:r>
      <w:r w:rsidR="006179A0">
        <w:rPr>
          <w:rFonts w:asciiTheme="minorHAnsi" w:hAnsiTheme="minorHAnsi" w:cstheme="minorHAnsi"/>
          <w:sz w:val="22"/>
          <w:szCs w:val="22"/>
        </w:rPr>
        <w:t>contributions</w:t>
      </w:r>
      <w:r w:rsidRPr="009C3D9B">
        <w:rPr>
          <w:rFonts w:asciiTheme="minorHAnsi" w:hAnsiTheme="minorHAnsi" w:cstheme="minorHAnsi"/>
          <w:sz w:val="22"/>
          <w:szCs w:val="22"/>
        </w:rPr>
        <w:t>.</w:t>
      </w:r>
      <w:r>
        <w:rPr>
          <w:rFonts w:asciiTheme="minorHAnsi" w:hAnsiTheme="minorHAnsi" w:cstheme="minorHAnsi"/>
          <w:sz w:val="22"/>
          <w:szCs w:val="22"/>
        </w:rPr>
        <w:t xml:space="preserve">  </w:t>
      </w:r>
      <w:r w:rsidRPr="009C3D9B">
        <w:rPr>
          <w:rFonts w:asciiTheme="minorHAnsi" w:hAnsiTheme="minorHAnsi" w:cstheme="minorHAnsi"/>
          <w:sz w:val="22"/>
          <w:szCs w:val="22"/>
        </w:rPr>
        <w:t xml:space="preserve">Achievement of the desired </w:t>
      </w:r>
      <w:r w:rsidR="004317CF">
        <w:rPr>
          <w:rFonts w:asciiTheme="minorHAnsi" w:hAnsiTheme="minorHAnsi" w:cstheme="minorHAnsi"/>
          <w:sz w:val="22"/>
          <w:szCs w:val="22"/>
        </w:rPr>
        <w:t>contributions</w:t>
      </w:r>
      <w:r w:rsidRPr="009C3D9B">
        <w:rPr>
          <w:rFonts w:asciiTheme="minorHAnsi" w:hAnsiTheme="minorHAnsi" w:cstheme="minorHAnsi"/>
          <w:sz w:val="22"/>
          <w:szCs w:val="22"/>
        </w:rPr>
        <w:t xml:space="preserve"> is</w:t>
      </w:r>
      <w:r w:rsidR="00E05F7E">
        <w:rPr>
          <w:rFonts w:asciiTheme="minorHAnsi" w:hAnsiTheme="minorHAnsi" w:cstheme="minorHAnsi"/>
          <w:sz w:val="22"/>
          <w:szCs w:val="22"/>
        </w:rPr>
        <w:t>,</w:t>
      </w:r>
      <w:r w:rsidRPr="009C3D9B">
        <w:rPr>
          <w:rFonts w:asciiTheme="minorHAnsi" w:hAnsiTheme="minorHAnsi" w:cstheme="minorHAnsi"/>
          <w:sz w:val="22"/>
          <w:szCs w:val="22"/>
        </w:rPr>
        <w:t xml:space="preserve"> </w:t>
      </w:r>
      <w:r w:rsidR="004317CF">
        <w:rPr>
          <w:rFonts w:asciiTheme="minorHAnsi" w:hAnsiTheme="minorHAnsi" w:cstheme="minorHAnsi"/>
          <w:sz w:val="22"/>
          <w:szCs w:val="22"/>
        </w:rPr>
        <w:t>of course</w:t>
      </w:r>
      <w:r w:rsidR="00E05F7E">
        <w:rPr>
          <w:rFonts w:asciiTheme="minorHAnsi" w:hAnsiTheme="minorHAnsi" w:cstheme="minorHAnsi"/>
          <w:sz w:val="22"/>
          <w:szCs w:val="22"/>
        </w:rPr>
        <w:t>,</w:t>
      </w:r>
      <w:r w:rsidR="004317CF">
        <w:rPr>
          <w:rFonts w:asciiTheme="minorHAnsi" w:hAnsiTheme="minorHAnsi" w:cstheme="minorHAnsi"/>
          <w:sz w:val="22"/>
          <w:szCs w:val="22"/>
        </w:rPr>
        <w:t xml:space="preserve"> </w:t>
      </w:r>
      <w:r w:rsidRPr="009C3D9B">
        <w:rPr>
          <w:rFonts w:asciiTheme="minorHAnsi" w:hAnsiTheme="minorHAnsi" w:cstheme="minorHAnsi"/>
          <w:sz w:val="22"/>
          <w:szCs w:val="22"/>
        </w:rPr>
        <w:t>important in order to enhance your organization's eff</w:t>
      </w:r>
      <w:r>
        <w:rPr>
          <w:rFonts w:asciiTheme="minorHAnsi" w:hAnsiTheme="minorHAnsi" w:cstheme="minorHAnsi"/>
          <w:sz w:val="22"/>
          <w:szCs w:val="22"/>
        </w:rPr>
        <w:t>ectiveness.  C</w:t>
      </w:r>
      <w:r w:rsidRPr="009C3D9B">
        <w:rPr>
          <w:rFonts w:asciiTheme="minorHAnsi" w:hAnsiTheme="minorHAnsi" w:cstheme="minorHAnsi"/>
          <w:sz w:val="22"/>
          <w:szCs w:val="22"/>
        </w:rPr>
        <w:t xml:space="preserve">ompensation is a </w:t>
      </w:r>
      <w:r w:rsidR="00063DF2">
        <w:rPr>
          <w:rFonts w:asciiTheme="minorHAnsi" w:hAnsiTheme="minorHAnsi" w:cstheme="minorHAnsi"/>
          <w:sz w:val="22"/>
          <w:szCs w:val="22"/>
        </w:rPr>
        <w:t>key</w:t>
      </w:r>
      <w:r w:rsidRPr="009C3D9B">
        <w:rPr>
          <w:rFonts w:asciiTheme="minorHAnsi" w:hAnsiTheme="minorHAnsi" w:cstheme="minorHAnsi"/>
          <w:sz w:val="22"/>
          <w:szCs w:val="22"/>
        </w:rPr>
        <w:t xml:space="preserve"> motivator when </w:t>
      </w:r>
      <w:r w:rsidR="003F0D3A">
        <w:rPr>
          <w:rFonts w:asciiTheme="minorHAnsi" w:hAnsiTheme="minorHAnsi" w:cstheme="minorHAnsi"/>
          <w:sz w:val="22"/>
          <w:szCs w:val="22"/>
        </w:rPr>
        <w:t>it</w:t>
      </w:r>
      <w:r w:rsidRPr="009C3D9B">
        <w:rPr>
          <w:rFonts w:asciiTheme="minorHAnsi" w:hAnsiTheme="minorHAnsi" w:cstheme="minorHAnsi"/>
          <w:sz w:val="22"/>
          <w:szCs w:val="22"/>
        </w:rPr>
        <w:t xml:space="preserve"> reward</w:t>
      </w:r>
      <w:r w:rsidR="003F0D3A">
        <w:rPr>
          <w:rFonts w:asciiTheme="minorHAnsi" w:hAnsiTheme="minorHAnsi" w:cstheme="minorHAnsi"/>
          <w:sz w:val="22"/>
          <w:szCs w:val="22"/>
        </w:rPr>
        <w:t>s</w:t>
      </w:r>
      <w:r w:rsidRPr="009C3D9B">
        <w:rPr>
          <w:rFonts w:asciiTheme="minorHAnsi" w:hAnsiTheme="minorHAnsi" w:cstheme="minorHAnsi"/>
          <w:sz w:val="22"/>
          <w:szCs w:val="22"/>
        </w:rPr>
        <w:t xml:space="preserve"> achievement of desired organizational results.</w:t>
      </w:r>
      <w:r w:rsidR="003F0D3A">
        <w:rPr>
          <w:rFonts w:asciiTheme="minorHAnsi" w:hAnsiTheme="minorHAnsi" w:cstheme="minorHAnsi"/>
          <w:sz w:val="22"/>
          <w:szCs w:val="22"/>
        </w:rPr>
        <w:t xml:space="preserve">  The compensation strategy must also support fulfillment of the organization’s budgetary constraints.</w:t>
      </w:r>
    </w:p>
    <w:p w14:paraId="17769987" w14:textId="28631CA2" w:rsidR="00AD6E7D" w:rsidRDefault="00AD6E7D" w:rsidP="00AD6E7D">
      <w:pPr>
        <w:pStyle w:val="NormalWeb"/>
        <w:rPr>
          <w:rFonts w:asciiTheme="minorHAnsi" w:hAnsiTheme="minorHAnsi" w:cstheme="minorHAnsi"/>
          <w:sz w:val="22"/>
          <w:szCs w:val="22"/>
        </w:rPr>
      </w:pPr>
      <w:r w:rsidRPr="00AD6E7D">
        <w:rPr>
          <w:rFonts w:asciiTheme="minorHAnsi" w:hAnsiTheme="minorHAnsi" w:cstheme="minorHAnsi"/>
          <w:sz w:val="22"/>
          <w:szCs w:val="22"/>
        </w:rPr>
        <w:t xml:space="preserve">The </w:t>
      </w:r>
      <w:r w:rsidRPr="00AD6E7D">
        <w:rPr>
          <w:rStyle w:val="Emphasis"/>
          <w:rFonts w:asciiTheme="minorHAnsi" w:hAnsiTheme="minorHAnsi" w:cstheme="minorHAnsi"/>
          <w:i w:val="0"/>
          <w:sz w:val="22"/>
          <w:szCs w:val="22"/>
        </w:rPr>
        <w:t>compensation strategy</w:t>
      </w:r>
      <w:r w:rsidRPr="00AD6E7D">
        <w:rPr>
          <w:rFonts w:asciiTheme="minorHAnsi" w:hAnsiTheme="minorHAnsi" w:cstheme="minorHAnsi"/>
          <w:sz w:val="22"/>
          <w:szCs w:val="22"/>
        </w:rPr>
        <w:t xml:space="preserve"> </w:t>
      </w:r>
      <w:r w:rsidR="004317CF">
        <w:rPr>
          <w:rFonts w:asciiTheme="minorHAnsi" w:hAnsiTheme="minorHAnsi" w:cstheme="minorHAnsi"/>
          <w:sz w:val="22"/>
          <w:szCs w:val="22"/>
        </w:rPr>
        <w:t xml:space="preserve">not only </w:t>
      </w:r>
      <w:r w:rsidRPr="00AD6E7D">
        <w:rPr>
          <w:rFonts w:asciiTheme="minorHAnsi" w:hAnsiTheme="minorHAnsi" w:cstheme="minorHAnsi"/>
          <w:sz w:val="22"/>
          <w:szCs w:val="22"/>
        </w:rPr>
        <w:t xml:space="preserve">sets the general rules for compensation </w:t>
      </w:r>
      <w:r w:rsidR="00063DF2">
        <w:rPr>
          <w:rFonts w:asciiTheme="minorHAnsi" w:hAnsiTheme="minorHAnsi" w:cstheme="minorHAnsi"/>
          <w:sz w:val="22"/>
          <w:szCs w:val="22"/>
        </w:rPr>
        <w:t>with</w:t>
      </w:r>
      <w:r w:rsidRPr="00AD6E7D">
        <w:rPr>
          <w:rFonts w:asciiTheme="minorHAnsi" w:hAnsiTheme="minorHAnsi" w:cstheme="minorHAnsi"/>
          <w:sz w:val="22"/>
          <w:szCs w:val="22"/>
        </w:rPr>
        <w:t xml:space="preserve">in the organization, </w:t>
      </w:r>
      <w:r w:rsidR="004317CF">
        <w:rPr>
          <w:rFonts w:asciiTheme="minorHAnsi" w:hAnsiTheme="minorHAnsi" w:cstheme="minorHAnsi"/>
          <w:sz w:val="22"/>
          <w:szCs w:val="22"/>
        </w:rPr>
        <w:t xml:space="preserve">it is also a </w:t>
      </w:r>
      <w:r w:rsidR="00063DF2">
        <w:rPr>
          <w:rFonts w:asciiTheme="minorHAnsi" w:hAnsiTheme="minorHAnsi" w:cstheme="minorHAnsi"/>
          <w:sz w:val="22"/>
          <w:szCs w:val="22"/>
        </w:rPr>
        <w:t>significant</w:t>
      </w:r>
      <w:r w:rsidR="004317CF">
        <w:rPr>
          <w:rFonts w:asciiTheme="minorHAnsi" w:hAnsiTheme="minorHAnsi" w:cstheme="minorHAnsi"/>
          <w:sz w:val="22"/>
          <w:szCs w:val="22"/>
        </w:rPr>
        <w:t xml:space="preserve"> component in </w:t>
      </w:r>
      <w:r w:rsidRPr="00AD6E7D">
        <w:rPr>
          <w:rFonts w:asciiTheme="minorHAnsi" w:hAnsiTheme="minorHAnsi" w:cstheme="minorHAnsi"/>
          <w:sz w:val="22"/>
          <w:szCs w:val="22"/>
        </w:rPr>
        <w:t>de</w:t>
      </w:r>
      <w:r w:rsidR="004317CF">
        <w:rPr>
          <w:rFonts w:asciiTheme="minorHAnsi" w:hAnsiTheme="minorHAnsi" w:cstheme="minorHAnsi"/>
          <w:sz w:val="22"/>
          <w:szCs w:val="22"/>
        </w:rPr>
        <w:t>termining</w:t>
      </w:r>
      <w:r w:rsidRPr="00AD6E7D">
        <w:rPr>
          <w:rFonts w:asciiTheme="minorHAnsi" w:hAnsiTheme="minorHAnsi" w:cstheme="minorHAnsi"/>
          <w:sz w:val="22"/>
          <w:szCs w:val="22"/>
        </w:rPr>
        <w:t xml:space="preserve"> organizational goals</w:t>
      </w:r>
      <w:r>
        <w:rPr>
          <w:rFonts w:asciiTheme="minorHAnsi" w:hAnsiTheme="minorHAnsi" w:cstheme="minorHAnsi"/>
          <w:sz w:val="22"/>
          <w:szCs w:val="22"/>
        </w:rPr>
        <w:t xml:space="preserve">.  </w:t>
      </w:r>
      <w:r w:rsidR="00966C0D">
        <w:rPr>
          <w:rFonts w:asciiTheme="minorHAnsi" w:hAnsiTheme="minorHAnsi" w:cstheme="minorHAnsi"/>
          <w:sz w:val="22"/>
          <w:szCs w:val="22"/>
        </w:rPr>
        <w:t>An organization</w:t>
      </w:r>
      <w:r>
        <w:rPr>
          <w:rFonts w:asciiTheme="minorHAnsi" w:hAnsiTheme="minorHAnsi" w:cstheme="minorHAnsi"/>
          <w:sz w:val="22"/>
          <w:szCs w:val="22"/>
        </w:rPr>
        <w:t xml:space="preserve"> </w:t>
      </w:r>
      <w:r w:rsidRPr="00674FD3">
        <w:rPr>
          <w:rFonts w:asciiTheme="minorHAnsi" w:hAnsiTheme="minorHAnsi" w:cstheme="minorHAnsi"/>
          <w:sz w:val="22"/>
          <w:szCs w:val="22"/>
        </w:rPr>
        <w:t>c</w:t>
      </w:r>
      <w:r>
        <w:rPr>
          <w:rFonts w:asciiTheme="minorHAnsi" w:hAnsiTheme="minorHAnsi" w:cstheme="minorHAnsi"/>
          <w:sz w:val="22"/>
          <w:szCs w:val="22"/>
        </w:rPr>
        <w:t>ould, for example,</w:t>
      </w:r>
      <w:r w:rsidRPr="00674FD3">
        <w:rPr>
          <w:rFonts w:asciiTheme="minorHAnsi" w:hAnsiTheme="minorHAnsi" w:cstheme="minorHAnsi"/>
          <w:sz w:val="22"/>
          <w:szCs w:val="22"/>
        </w:rPr>
        <w:t xml:space="preserve"> </w:t>
      </w:r>
      <w:r>
        <w:rPr>
          <w:rFonts w:asciiTheme="minorHAnsi" w:hAnsiTheme="minorHAnsi" w:cstheme="minorHAnsi"/>
          <w:sz w:val="22"/>
          <w:szCs w:val="22"/>
        </w:rPr>
        <w:t xml:space="preserve">wish to </w:t>
      </w:r>
      <w:r w:rsidRPr="00674FD3">
        <w:rPr>
          <w:rFonts w:asciiTheme="minorHAnsi" w:hAnsiTheme="minorHAnsi" w:cstheme="minorHAnsi"/>
          <w:sz w:val="22"/>
          <w:szCs w:val="22"/>
        </w:rPr>
        <w:t xml:space="preserve">set pay </w:t>
      </w:r>
      <w:r>
        <w:rPr>
          <w:rFonts w:asciiTheme="minorHAnsi" w:hAnsiTheme="minorHAnsi" w:cstheme="minorHAnsi"/>
          <w:sz w:val="22"/>
          <w:szCs w:val="22"/>
        </w:rPr>
        <w:t xml:space="preserve">at </w:t>
      </w:r>
      <w:r w:rsidRPr="00674FD3">
        <w:rPr>
          <w:rFonts w:asciiTheme="minorHAnsi" w:hAnsiTheme="minorHAnsi" w:cstheme="minorHAnsi"/>
          <w:sz w:val="22"/>
          <w:szCs w:val="22"/>
        </w:rPr>
        <w:t xml:space="preserve">the lowest possible </w:t>
      </w:r>
      <w:r w:rsidR="005E0F47">
        <w:rPr>
          <w:rFonts w:asciiTheme="minorHAnsi" w:hAnsiTheme="minorHAnsi" w:cstheme="minorHAnsi"/>
          <w:sz w:val="22"/>
          <w:szCs w:val="22"/>
        </w:rPr>
        <w:t>levels</w:t>
      </w:r>
      <w:r w:rsidR="00063DF2">
        <w:rPr>
          <w:rFonts w:asciiTheme="minorHAnsi" w:hAnsiTheme="minorHAnsi" w:cstheme="minorHAnsi"/>
          <w:sz w:val="22"/>
          <w:szCs w:val="22"/>
        </w:rPr>
        <w:t xml:space="preserve">.  However, </w:t>
      </w:r>
      <w:r w:rsidRPr="00674FD3">
        <w:rPr>
          <w:rFonts w:asciiTheme="minorHAnsi" w:hAnsiTheme="minorHAnsi" w:cstheme="minorHAnsi"/>
          <w:sz w:val="22"/>
          <w:szCs w:val="22"/>
        </w:rPr>
        <w:t>the organization ha</w:t>
      </w:r>
      <w:r>
        <w:rPr>
          <w:rFonts w:asciiTheme="minorHAnsi" w:hAnsiTheme="minorHAnsi" w:cstheme="minorHAnsi"/>
          <w:sz w:val="22"/>
          <w:szCs w:val="22"/>
        </w:rPr>
        <w:t>s</w:t>
      </w:r>
      <w:r w:rsidR="00B95372">
        <w:rPr>
          <w:rFonts w:asciiTheme="minorHAnsi" w:hAnsiTheme="minorHAnsi" w:cstheme="minorHAnsi"/>
          <w:sz w:val="22"/>
          <w:szCs w:val="22"/>
        </w:rPr>
        <w:t xml:space="preserve"> to respect the reality of</w:t>
      </w:r>
      <w:r w:rsidRPr="00674FD3">
        <w:rPr>
          <w:rFonts w:asciiTheme="minorHAnsi" w:hAnsiTheme="minorHAnsi" w:cstheme="minorHAnsi"/>
          <w:sz w:val="22"/>
          <w:szCs w:val="22"/>
        </w:rPr>
        <w:t xml:space="preserve"> the job market</w:t>
      </w:r>
      <w:r w:rsidR="00063DF2">
        <w:rPr>
          <w:rFonts w:asciiTheme="minorHAnsi" w:hAnsiTheme="minorHAnsi" w:cstheme="minorHAnsi"/>
          <w:sz w:val="22"/>
          <w:szCs w:val="22"/>
        </w:rPr>
        <w:t xml:space="preserve"> and</w:t>
      </w:r>
      <w:r w:rsidR="00AB0455">
        <w:rPr>
          <w:rFonts w:asciiTheme="minorHAnsi" w:hAnsiTheme="minorHAnsi" w:cstheme="minorHAnsi"/>
          <w:sz w:val="22"/>
          <w:szCs w:val="22"/>
        </w:rPr>
        <w:t>,</w:t>
      </w:r>
      <w:r w:rsidR="00063DF2">
        <w:rPr>
          <w:rFonts w:asciiTheme="minorHAnsi" w:hAnsiTheme="minorHAnsi" w:cstheme="minorHAnsi"/>
          <w:sz w:val="22"/>
          <w:szCs w:val="22"/>
        </w:rPr>
        <w:t xml:space="preserve"> b</w:t>
      </w:r>
      <w:r w:rsidR="00966C0D">
        <w:rPr>
          <w:rFonts w:asciiTheme="minorHAnsi" w:hAnsiTheme="minorHAnsi" w:cstheme="minorHAnsi"/>
          <w:sz w:val="22"/>
          <w:szCs w:val="22"/>
        </w:rPr>
        <w:t>y doing so</w:t>
      </w:r>
      <w:r w:rsidR="00AB0455">
        <w:rPr>
          <w:rFonts w:asciiTheme="minorHAnsi" w:hAnsiTheme="minorHAnsi" w:cstheme="minorHAnsi"/>
          <w:sz w:val="22"/>
          <w:szCs w:val="22"/>
        </w:rPr>
        <w:t>,</w:t>
      </w:r>
      <w:r w:rsidR="00966C0D">
        <w:rPr>
          <w:rFonts w:asciiTheme="minorHAnsi" w:hAnsiTheme="minorHAnsi" w:cstheme="minorHAnsi"/>
          <w:sz w:val="22"/>
          <w:szCs w:val="22"/>
        </w:rPr>
        <w:t xml:space="preserve"> may need to rethink its compensation strategy in order to most effectively and efficiently reach organizational goals.</w:t>
      </w:r>
    </w:p>
    <w:p w14:paraId="3BEC7F40" w14:textId="77777777" w:rsidR="00AD6E7D" w:rsidRPr="00966C0D" w:rsidRDefault="003F0D3A" w:rsidP="0089758A">
      <w:pPr>
        <w:pStyle w:val="NormalWeb"/>
        <w:rPr>
          <w:rFonts w:asciiTheme="minorHAnsi" w:hAnsiTheme="minorHAnsi" w:cstheme="minorHAnsi"/>
          <w:sz w:val="22"/>
          <w:szCs w:val="22"/>
        </w:rPr>
      </w:pPr>
      <w:r>
        <w:rPr>
          <w:rFonts w:asciiTheme="minorHAnsi" w:hAnsiTheme="minorHAnsi" w:cstheme="minorHAnsi"/>
          <w:sz w:val="22"/>
          <w:szCs w:val="22"/>
        </w:rPr>
        <w:t>The c</w:t>
      </w:r>
      <w:r w:rsidR="009C3D9B" w:rsidRPr="009C3D9B">
        <w:rPr>
          <w:rFonts w:asciiTheme="minorHAnsi" w:hAnsiTheme="minorHAnsi" w:cstheme="minorHAnsi"/>
          <w:sz w:val="22"/>
          <w:szCs w:val="22"/>
        </w:rPr>
        <w:t xml:space="preserve">ompensation strategy can </w:t>
      </w:r>
      <w:r w:rsidR="004317CF">
        <w:rPr>
          <w:rFonts w:asciiTheme="minorHAnsi" w:hAnsiTheme="minorHAnsi" w:cstheme="minorHAnsi"/>
          <w:sz w:val="22"/>
          <w:szCs w:val="22"/>
        </w:rPr>
        <w:t xml:space="preserve">also help to </w:t>
      </w:r>
      <w:r w:rsidR="009C3D9B" w:rsidRPr="009C3D9B">
        <w:rPr>
          <w:rFonts w:asciiTheme="minorHAnsi" w:hAnsiTheme="minorHAnsi" w:cstheme="minorHAnsi"/>
          <w:sz w:val="22"/>
          <w:szCs w:val="22"/>
        </w:rPr>
        <w:t>reinforce the organizational culture that you desire. Th</w:t>
      </w:r>
      <w:r w:rsidR="00966C0D">
        <w:rPr>
          <w:rFonts w:asciiTheme="minorHAnsi" w:hAnsiTheme="minorHAnsi" w:cstheme="minorHAnsi"/>
          <w:sz w:val="22"/>
          <w:szCs w:val="22"/>
        </w:rPr>
        <w:t>ere</w:t>
      </w:r>
      <w:r w:rsidR="009C3D9B" w:rsidRPr="009C3D9B">
        <w:rPr>
          <w:rFonts w:asciiTheme="minorHAnsi" w:hAnsiTheme="minorHAnsi" w:cstheme="minorHAnsi"/>
          <w:sz w:val="22"/>
          <w:szCs w:val="22"/>
        </w:rPr>
        <w:t xml:space="preserve"> is an enabling organizational culture under whic</w:t>
      </w:r>
      <w:r w:rsidR="00AD6E7D">
        <w:rPr>
          <w:rFonts w:asciiTheme="minorHAnsi" w:hAnsiTheme="minorHAnsi" w:cstheme="minorHAnsi"/>
          <w:sz w:val="22"/>
          <w:szCs w:val="22"/>
        </w:rPr>
        <w:t>h pay is linked to performance and contribution.</w:t>
      </w:r>
      <w:r w:rsidR="00366C99">
        <w:rPr>
          <w:rFonts w:asciiTheme="minorHAnsi" w:hAnsiTheme="minorHAnsi" w:cstheme="minorHAnsi"/>
          <w:sz w:val="22"/>
          <w:szCs w:val="22"/>
        </w:rPr>
        <w:t xml:space="preserve">  </w:t>
      </w:r>
      <w:r w:rsidR="00674FD3" w:rsidRPr="00674FD3">
        <w:rPr>
          <w:rFonts w:asciiTheme="minorHAnsi" w:hAnsiTheme="minorHAnsi" w:cstheme="minorHAnsi"/>
          <w:sz w:val="22"/>
          <w:szCs w:val="22"/>
        </w:rPr>
        <w:t>For example, the role of bonuses can be primarily in reward</w:t>
      </w:r>
      <w:r w:rsidR="00385113">
        <w:rPr>
          <w:rFonts w:asciiTheme="minorHAnsi" w:hAnsiTheme="minorHAnsi" w:cstheme="minorHAnsi"/>
          <w:sz w:val="22"/>
          <w:szCs w:val="22"/>
        </w:rPr>
        <w:t>ing</w:t>
      </w:r>
      <w:r w:rsidR="00674FD3" w:rsidRPr="00674FD3">
        <w:rPr>
          <w:rFonts w:asciiTheme="minorHAnsi" w:hAnsiTheme="minorHAnsi" w:cstheme="minorHAnsi"/>
          <w:sz w:val="22"/>
          <w:szCs w:val="22"/>
        </w:rPr>
        <w:t xml:space="preserve"> </w:t>
      </w:r>
      <w:r w:rsidR="00385113">
        <w:rPr>
          <w:rFonts w:asciiTheme="minorHAnsi" w:hAnsiTheme="minorHAnsi" w:cstheme="minorHAnsi"/>
          <w:sz w:val="22"/>
          <w:szCs w:val="22"/>
        </w:rPr>
        <w:t xml:space="preserve">actual </w:t>
      </w:r>
      <w:r w:rsidR="00B95372">
        <w:rPr>
          <w:rFonts w:asciiTheme="minorHAnsi" w:hAnsiTheme="minorHAnsi" w:cstheme="minorHAnsi"/>
          <w:sz w:val="22"/>
          <w:szCs w:val="22"/>
        </w:rPr>
        <w:t xml:space="preserve">contributions </w:t>
      </w:r>
      <w:r w:rsidR="00674FD3" w:rsidRPr="00674FD3">
        <w:rPr>
          <w:rFonts w:asciiTheme="minorHAnsi" w:hAnsiTheme="minorHAnsi" w:cstheme="minorHAnsi"/>
          <w:sz w:val="22"/>
          <w:szCs w:val="22"/>
        </w:rPr>
        <w:t>or the retention of the employees</w:t>
      </w:r>
      <w:r w:rsidR="00366C99">
        <w:rPr>
          <w:rFonts w:asciiTheme="minorHAnsi" w:hAnsiTheme="minorHAnsi" w:cstheme="minorHAnsi"/>
          <w:sz w:val="22"/>
          <w:szCs w:val="22"/>
        </w:rPr>
        <w:t xml:space="preserve">.  Either way </w:t>
      </w:r>
      <w:r w:rsidR="00674FD3" w:rsidRPr="00674FD3">
        <w:rPr>
          <w:rFonts w:asciiTheme="minorHAnsi" w:hAnsiTheme="minorHAnsi" w:cstheme="minorHAnsi"/>
          <w:sz w:val="22"/>
          <w:szCs w:val="22"/>
        </w:rPr>
        <w:t>the organization decide</w:t>
      </w:r>
      <w:r>
        <w:rPr>
          <w:rFonts w:asciiTheme="minorHAnsi" w:hAnsiTheme="minorHAnsi" w:cstheme="minorHAnsi"/>
          <w:sz w:val="22"/>
          <w:szCs w:val="22"/>
        </w:rPr>
        <w:t>s</w:t>
      </w:r>
      <w:r w:rsidR="002F6654">
        <w:rPr>
          <w:rFonts w:asciiTheme="minorHAnsi" w:hAnsiTheme="minorHAnsi" w:cstheme="minorHAnsi"/>
          <w:sz w:val="22"/>
          <w:szCs w:val="22"/>
        </w:rPr>
        <w:t>,</w:t>
      </w:r>
      <w:r w:rsidR="00366C99">
        <w:rPr>
          <w:rFonts w:asciiTheme="minorHAnsi" w:hAnsiTheme="minorHAnsi" w:cstheme="minorHAnsi"/>
          <w:sz w:val="22"/>
          <w:szCs w:val="22"/>
        </w:rPr>
        <w:t xml:space="preserve"> supervisors and </w:t>
      </w:r>
      <w:r w:rsidR="004317CF">
        <w:rPr>
          <w:rFonts w:asciiTheme="minorHAnsi" w:hAnsiTheme="minorHAnsi" w:cstheme="minorHAnsi"/>
          <w:sz w:val="22"/>
          <w:szCs w:val="22"/>
        </w:rPr>
        <w:t>p</w:t>
      </w:r>
      <w:r w:rsidR="00366C99">
        <w:rPr>
          <w:rFonts w:asciiTheme="minorHAnsi" w:hAnsiTheme="minorHAnsi" w:cstheme="minorHAnsi"/>
          <w:sz w:val="22"/>
          <w:szCs w:val="22"/>
        </w:rPr>
        <w:t xml:space="preserve">ay </w:t>
      </w:r>
      <w:r w:rsidR="004317CF">
        <w:rPr>
          <w:rFonts w:asciiTheme="minorHAnsi" w:hAnsiTheme="minorHAnsi" w:cstheme="minorHAnsi"/>
          <w:sz w:val="22"/>
          <w:szCs w:val="22"/>
        </w:rPr>
        <w:t>p</w:t>
      </w:r>
      <w:r w:rsidR="00366C99">
        <w:rPr>
          <w:rFonts w:asciiTheme="minorHAnsi" w:hAnsiTheme="minorHAnsi" w:cstheme="minorHAnsi"/>
          <w:sz w:val="22"/>
          <w:szCs w:val="22"/>
        </w:rPr>
        <w:t>ools must enforce the decisions</w:t>
      </w:r>
      <w:r w:rsidR="00674FD3" w:rsidRPr="00674FD3">
        <w:rPr>
          <w:rFonts w:asciiTheme="minorHAnsi" w:hAnsiTheme="minorHAnsi" w:cstheme="minorHAnsi"/>
          <w:sz w:val="22"/>
          <w:szCs w:val="22"/>
        </w:rPr>
        <w:t>.</w:t>
      </w:r>
    </w:p>
    <w:p w14:paraId="7ADA7E5B" w14:textId="3F3689B0" w:rsidR="00A6026A" w:rsidRDefault="009E3FE4" w:rsidP="00A6026A">
      <w:pPr>
        <w:pStyle w:val="Heading2"/>
      </w:pPr>
      <w:bookmarkStart w:id="13" w:name="_Toc510512470"/>
      <w:r>
        <w:lastRenderedPageBreak/>
        <w:t xml:space="preserve">Compensation </w:t>
      </w:r>
      <w:r w:rsidR="000B7426">
        <w:t>Philosophy</w:t>
      </w:r>
      <w:bookmarkEnd w:id="13"/>
    </w:p>
    <w:p w14:paraId="2B2E6D89" w14:textId="225835F7" w:rsidR="00A6026A" w:rsidRDefault="000B7426" w:rsidP="00A6026A">
      <w:pPr>
        <w:spacing w:line="360" w:lineRule="auto"/>
        <w:jc w:val="center"/>
      </w:pPr>
      <w:r w:rsidRPr="000B7426">
        <w:rPr>
          <w:noProof/>
        </w:rPr>
        <w:drawing>
          <wp:inline distT="0" distB="0" distL="0" distR="0" wp14:anchorId="2D1B0EB0" wp14:editId="020F3422">
            <wp:extent cx="4572396" cy="3429297"/>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6051BE33" w14:textId="77777777" w:rsidR="000B7426" w:rsidRDefault="00E222D0" w:rsidP="000B7426">
      <w:pPr>
        <w:rPr>
          <w:rFonts w:cs="Arial"/>
        </w:rPr>
      </w:pPr>
      <w:r w:rsidRPr="000B7426">
        <w:rPr>
          <w:rFonts w:cs="Arial"/>
        </w:rPr>
        <w:t>Federal Register notice, Section C.1., Introduction</w:t>
      </w:r>
    </w:p>
    <w:p w14:paraId="3B5DF1A9" w14:textId="77777777" w:rsidR="000B7426" w:rsidRDefault="000B7426" w:rsidP="000B7426">
      <w:pPr>
        <w:rPr>
          <w:rFonts w:cs="Arial"/>
        </w:rPr>
      </w:pPr>
      <w:r w:rsidRPr="000B7426">
        <w:rPr>
          <w:rFonts w:cs="Arial"/>
        </w:rPr>
        <w:t xml:space="preserve">AcqDemo’s compensation philosophy insures equitable pay for the duties of the position, recognizes individual competency achievements, and rewards contribution to mission. </w:t>
      </w:r>
    </w:p>
    <w:p w14:paraId="0D0A22A6" w14:textId="3AFA9CCB" w:rsidR="000B7426" w:rsidRPr="000B7426" w:rsidRDefault="000B7426" w:rsidP="000B7426">
      <w:pPr>
        <w:rPr>
          <w:rFonts w:cs="Arial"/>
        </w:rPr>
      </w:pPr>
      <w:r w:rsidRPr="000B7426">
        <w:rPr>
          <w:rFonts w:cs="Arial"/>
        </w:rPr>
        <w:t>To assist in this endeavor, AcqDemo provides a number of interventions and policies for special situations such as pay setting for new hires, reinstatement eligibles, and non-AcqDemo Federal civilian employees voluntarily accepting an AcqDemo position; promotions; buy-ins on voluntary permanent lateral transfers, reassignments, and realignments into AcqDemo; changes to lower career path, broadband level, and/or basic pay; supervisory and team leader cash differentials; accelerated compensation for developmental positions; and a contribution-based  compensation system that aligns employees’ pay to their contributions to the organization’s mission and to the scope, difficulty, and value of their positions.</w:t>
      </w:r>
    </w:p>
    <w:p w14:paraId="58DFFC04" w14:textId="77777777" w:rsidR="000B7426" w:rsidRPr="000B7426" w:rsidRDefault="000B7426" w:rsidP="000B7426">
      <w:pPr>
        <w:rPr>
          <w:rFonts w:cs="Arial"/>
        </w:rPr>
      </w:pPr>
    </w:p>
    <w:p w14:paraId="033CCB0D" w14:textId="77777777" w:rsidR="00A6026A" w:rsidRDefault="00A6026A" w:rsidP="00A6026A">
      <w:r>
        <w:br w:type="page"/>
      </w:r>
    </w:p>
    <w:p w14:paraId="4E465CF5" w14:textId="3B60F3BC" w:rsidR="00A6026A" w:rsidRDefault="009E3FE4" w:rsidP="00A6026A">
      <w:pPr>
        <w:pStyle w:val="Heading2"/>
      </w:pPr>
      <w:bookmarkStart w:id="14" w:name="_Toc510512471"/>
      <w:r>
        <w:lastRenderedPageBreak/>
        <w:t>Compensation Strategy</w:t>
      </w:r>
      <w:bookmarkEnd w:id="14"/>
    </w:p>
    <w:p w14:paraId="7C68F56D" w14:textId="11735442" w:rsidR="00A6026A" w:rsidRDefault="000B7426" w:rsidP="00A6026A">
      <w:pPr>
        <w:spacing w:line="360" w:lineRule="auto"/>
        <w:jc w:val="center"/>
      </w:pPr>
      <w:r w:rsidRPr="000B7426">
        <w:rPr>
          <w:noProof/>
        </w:rPr>
        <w:drawing>
          <wp:inline distT="0" distB="0" distL="0" distR="0" wp14:anchorId="35BF9373" wp14:editId="11887799">
            <wp:extent cx="4572396" cy="3429297"/>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14:paraId="10741D1B" w14:textId="056F1EB0" w:rsidR="000B7426" w:rsidRDefault="000B7426" w:rsidP="00A6026A">
      <w:pPr>
        <w:spacing w:line="360" w:lineRule="auto"/>
        <w:jc w:val="center"/>
      </w:pPr>
      <w:r w:rsidRPr="000B7426">
        <w:rPr>
          <w:noProof/>
        </w:rPr>
        <w:drawing>
          <wp:inline distT="0" distB="0" distL="0" distR="0" wp14:anchorId="699B4F8C" wp14:editId="0647A41A">
            <wp:extent cx="4572396" cy="3429297"/>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14:paraId="12F903FB" w14:textId="42CDF315" w:rsidR="000B7426" w:rsidRDefault="000B7426">
      <w:r>
        <w:br w:type="page"/>
      </w:r>
    </w:p>
    <w:p w14:paraId="2F941443" w14:textId="4577B8C0" w:rsidR="004F617C" w:rsidRDefault="004F617C" w:rsidP="004F617C">
      <w:pPr>
        <w:pStyle w:val="Heading2"/>
      </w:pPr>
      <w:bookmarkStart w:id="15" w:name="_Toc510512472"/>
      <w:r>
        <w:lastRenderedPageBreak/>
        <w:t>Control Points / Stop-and-Consider Points</w:t>
      </w:r>
      <w:bookmarkEnd w:id="15"/>
    </w:p>
    <w:p w14:paraId="71F34198" w14:textId="3E3C6FA6" w:rsidR="000B7426" w:rsidRDefault="000B7426" w:rsidP="00A6026A">
      <w:pPr>
        <w:spacing w:line="360" w:lineRule="auto"/>
        <w:jc w:val="center"/>
      </w:pPr>
      <w:r w:rsidRPr="000B7426">
        <w:rPr>
          <w:noProof/>
        </w:rPr>
        <w:drawing>
          <wp:inline distT="0" distB="0" distL="0" distR="0" wp14:anchorId="4FB9A5CB" wp14:editId="201A3FF4">
            <wp:extent cx="4572396" cy="3429297"/>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p w14:paraId="6501DAFA" w14:textId="578A3F4B" w:rsidR="000B7426" w:rsidRDefault="000B7426" w:rsidP="00A6026A">
      <w:pPr>
        <w:spacing w:line="360" w:lineRule="auto"/>
        <w:jc w:val="center"/>
      </w:pPr>
      <w:r w:rsidRPr="000B7426">
        <w:rPr>
          <w:noProof/>
        </w:rPr>
        <w:drawing>
          <wp:inline distT="0" distB="0" distL="0" distR="0" wp14:anchorId="2546B60B" wp14:editId="24C292E6">
            <wp:extent cx="4572396" cy="3429297"/>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pic:spPr>
                </pic:pic>
              </a:graphicData>
            </a:graphic>
          </wp:inline>
        </w:drawing>
      </w:r>
    </w:p>
    <w:p w14:paraId="6DAB13DC" w14:textId="15F78F61" w:rsidR="000B7426" w:rsidRDefault="000B7426">
      <w:r>
        <w:br w:type="page"/>
      </w:r>
    </w:p>
    <w:p w14:paraId="335FB59E" w14:textId="778ED66E" w:rsidR="004F617C" w:rsidRDefault="004F617C" w:rsidP="00860AD6">
      <w:pPr>
        <w:pStyle w:val="Heading3"/>
      </w:pPr>
      <w:bookmarkStart w:id="16" w:name="_Toc510512473"/>
      <w:r>
        <w:lastRenderedPageBreak/>
        <w:t>Compensation Strategy</w:t>
      </w:r>
      <w:r w:rsidR="007E7802">
        <w:t xml:space="preserve"> Business Rules Decisions</w:t>
      </w:r>
      <w:bookmarkEnd w:id="16"/>
    </w:p>
    <w:p w14:paraId="55442B98" w14:textId="1CF76C81" w:rsidR="000B7426" w:rsidRDefault="000B7426" w:rsidP="00A6026A">
      <w:pPr>
        <w:spacing w:line="360" w:lineRule="auto"/>
        <w:jc w:val="center"/>
      </w:pPr>
      <w:r w:rsidRPr="000B7426">
        <w:rPr>
          <w:noProof/>
        </w:rPr>
        <w:drawing>
          <wp:inline distT="0" distB="0" distL="0" distR="0" wp14:anchorId="4885728F" wp14:editId="4288A55A">
            <wp:extent cx="4572396" cy="3429297"/>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14:paraId="19D92E35" w14:textId="77777777" w:rsidR="000B7426" w:rsidRDefault="000B7426" w:rsidP="000B7426">
      <w:pPr>
        <w:spacing w:line="360" w:lineRule="auto"/>
      </w:pPr>
      <w:r>
        <w:t>NOTES:</w:t>
      </w:r>
    </w:p>
    <w:p w14:paraId="3BCE6A17" w14:textId="77777777" w:rsidR="000B7426" w:rsidRDefault="000B7426" w:rsidP="000B742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C8CF17" w14:textId="77777777" w:rsidR="000B7426" w:rsidRDefault="000B7426" w:rsidP="000B742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BDA449" w14:textId="77777777" w:rsidR="000B7426" w:rsidRDefault="000B7426" w:rsidP="000B742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85452F8" w14:textId="77777777" w:rsidR="000B7426" w:rsidRDefault="000B7426" w:rsidP="000B742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5FFD4C1" w14:textId="77777777" w:rsidR="000B7426" w:rsidRDefault="000B7426" w:rsidP="000B742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291AFBA" w14:textId="77777777" w:rsidR="000B7426" w:rsidRPr="009605CE" w:rsidRDefault="000B7426" w:rsidP="000B742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1B3DAA" w14:textId="77777777" w:rsidR="000B7426" w:rsidRDefault="000B7426" w:rsidP="000B7426">
      <w:pPr>
        <w:spacing w:line="360" w:lineRule="auto"/>
      </w:pPr>
    </w:p>
    <w:p w14:paraId="4C046C32" w14:textId="77777777" w:rsidR="00E222D0" w:rsidRDefault="00E222D0" w:rsidP="00A91706">
      <w:pPr>
        <w:pStyle w:val="Heading1"/>
      </w:pPr>
    </w:p>
    <w:p w14:paraId="00D4D816" w14:textId="77777777" w:rsidR="00E222D0" w:rsidRDefault="00E222D0">
      <w:pPr>
        <w:rPr>
          <w:rFonts w:asciiTheme="majorHAnsi" w:eastAsiaTheme="majorEastAsia" w:hAnsiTheme="majorHAnsi" w:cstheme="majorBidi"/>
          <w:b/>
          <w:bCs/>
          <w:color w:val="365F91" w:themeColor="accent1" w:themeShade="BF"/>
          <w:sz w:val="28"/>
          <w:szCs w:val="28"/>
        </w:rPr>
      </w:pPr>
      <w:r>
        <w:br w:type="page"/>
      </w:r>
    </w:p>
    <w:p w14:paraId="2B54400B" w14:textId="13DDF2CC" w:rsidR="00E222D0" w:rsidRDefault="00E222D0" w:rsidP="00E222D0">
      <w:pPr>
        <w:pStyle w:val="Heading2"/>
      </w:pPr>
      <w:bookmarkStart w:id="17" w:name="_Toc510512474"/>
      <w:r>
        <w:lastRenderedPageBreak/>
        <w:t>Compensation Policy</w:t>
      </w:r>
      <w:bookmarkEnd w:id="17"/>
    </w:p>
    <w:p w14:paraId="6870F163" w14:textId="4569C955" w:rsidR="00E222D0" w:rsidRDefault="00E222D0" w:rsidP="00E222D0">
      <w:pPr>
        <w:jc w:val="center"/>
      </w:pPr>
      <w:r w:rsidRPr="00E222D0">
        <w:rPr>
          <w:noProof/>
        </w:rPr>
        <w:drawing>
          <wp:inline distT="0" distB="0" distL="0" distR="0" wp14:anchorId="2D9E08EC" wp14:editId="22C91E60">
            <wp:extent cx="4572396" cy="3429297"/>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pic:spPr>
                </pic:pic>
              </a:graphicData>
            </a:graphic>
          </wp:inline>
        </w:drawing>
      </w:r>
    </w:p>
    <w:p w14:paraId="4E7236D9" w14:textId="77777777" w:rsidR="00E222D0" w:rsidRDefault="00E222D0">
      <w:pPr>
        <w:rPr>
          <w:rFonts w:asciiTheme="majorHAnsi" w:eastAsiaTheme="majorEastAsia" w:hAnsiTheme="majorHAnsi" w:cstheme="majorBidi"/>
          <w:b/>
          <w:bCs/>
          <w:color w:val="4F81BD" w:themeColor="accent1"/>
          <w:sz w:val="26"/>
          <w:szCs w:val="26"/>
        </w:rPr>
      </w:pPr>
      <w:r>
        <w:br w:type="page"/>
      </w:r>
    </w:p>
    <w:p w14:paraId="67A26BB3" w14:textId="2DEBE9B9" w:rsidR="00E222D0" w:rsidRDefault="00E222D0" w:rsidP="00E222D0">
      <w:pPr>
        <w:pStyle w:val="Heading2"/>
      </w:pPr>
      <w:bookmarkStart w:id="18" w:name="_Toc510512475"/>
      <w:r>
        <w:lastRenderedPageBreak/>
        <w:t>Highest Previous Rate</w:t>
      </w:r>
      <w:bookmarkEnd w:id="18"/>
    </w:p>
    <w:p w14:paraId="6970CC0B" w14:textId="77777777" w:rsidR="00E222D0" w:rsidRDefault="00E222D0" w:rsidP="00E222D0">
      <w:pPr>
        <w:jc w:val="center"/>
      </w:pPr>
      <w:r w:rsidRPr="00E222D0">
        <w:rPr>
          <w:noProof/>
        </w:rPr>
        <w:drawing>
          <wp:inline distT="0" distB="0" distL="0" distR="0" wp14:anchorId="54AA63E4" wp14:editId="27C70BB4">
            <wp:extent cx="4572396" cy="3429297"/>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396" cy="3429297"/>
                    </a:xfrm>
                    <a:prstGeom prst="rect">
                      <a:avLst/>
                    </a:prstGeom>
                  </pic:spPr>
                </pic:pic>
              </a:graphicData>
            </a:graphic>
          </wp:inline>
        </w:drawing>
      </w:r>
    </w:p>
    <w:p w14:paraId="6078B7B9" w14:textId="77777777" w:rsidR="00E222D0" w:rsidRPr="00E222D0" w:rsidRDefault="00E222D0" w:rsidP="00E222D0">
      <w:r w:rsidRPr="00E222D0">
        <w:t xml:space="preserve">AcqDemo HPR allows an organization to set pay for an AcqDemo employee at a rate above the rate that would be established using normal AcqDemo rules, based on a higher rate of basic pay the employee received previously in another Federal job. </w:t>
      </w:r>
    </w:p>
    <w:p w14:paraId="122D2880" w14:textId="77777777" w:rsidR="00E222D0" w:rsidRPr="00E222D0" w:rsidRDefault="00E222D0" w:rsidP="00E222D0">
      <w:r w:rsidRPr="00E222D0">
        <w:t xml:space="preserve">The AcqDemo HPR may be used for reemployment, transfer, reassignment, promotion, demotion, change in type of appointment, termination of a critical position pay authority under </w:t>
      </w:r>
      <w:hyperlink r:id="rId30" w:history="1">
        <w:r w:rsidRPr="00E222D0">
          <w:rPr>
            <w:rStyle w:val="Hyperlink"/>
          </w:rPr>
          <w:t>5 CFR part 535</w:t>
        </w:r>
      </w:hyperlink>
      <w:r w:rsidRPr="00E222D0">
        <w:t xml:space="preserve">, movement from a non-GS pay system, or termination of grade or pay retention under </w:t>
      </w:r>
      <w:hyperlink r:id="rId31" w:history="1">
        <w:r w:rsidRPr="00E222D0">
          <w:rPr>
            <w:rStyle w:val="Hyperlink"/>
          </w:rPr>
          <w:t>5 CFR part 536.</w:t>
        </w:r>
      </w:hyperlink>
      <w:r w:rsidRPr="00E222D0">
        <w:t xml:space="preserve"> </w:t>
      </w:r>
    </w:p>
    <w:p w14:paraId="69776661" w14:textId="77777777" w:rsidR="00E222D0" w:rsidRPr="00E222D0" w:rsidRDefault="00E222D0" w:rsidP="00E222D0">
      <w:r w:rsidRPr="00E222D0">
        <w:t>Use of AcqDemo HPR will be at the discretion of the Head of the Participating Organization and subject to policies established by the organization’s senior leaders and/or Personnel Policy Board.</w:t>
      </w:r>
    </w:p>
    <w:p w14:paraId="249F73B4" w14:textId="77777777" w:rsidR="00E222D0" w:rsidRPr="00E222D0" w:rsidRDefault="00E222D0" w:rsidP="00E222D0">
      <w:r w:rsidRPr="00E222D0">
        <w:t xml:space="preserve">Careful consideration must be exercised when choosing to apply the AcqDemo HPR rule to ensure the integrity of the organization’s position management structure and maintain equity among positions performing like work. Using a highest previous rate may also set unrealistic contribution expectations for the position since the expected overall contribution score (EOCS) is based on current basic pay. </w:t>
      </w:r>
    </w:p>
    <w:p w14:paraId="3F43A643" w14:textId="77777777" w:rsidR="00E222D0" w:rsidRDefault="00E222D0">
      <w:r>
        <w:br w:type="page"/>
      </w:r>
    </w:p>
    <w:p w14:paraId="4FBFA231" w14:textId="1AC6CC60" w:rsidR="00E222D0" w:rsidRDefault="00E222D0" w:rsidP="00E222D0">
      <w:pPr>
        <w:pStyle w:val="Heading2"/>
      </w:pPr>
      <w:bookmarkStart w:id="19" w:name="_Toc510512476"/>
      <w:r>
        <w:lastRenderedPageBreak/>
        <w:t>Supervisor and Team Leader Cash Differentials</w:t>
      </w:r>
      <w:bookmarkEnd w:id="19"/>
    </w:p>
    <w:p w14:paraId="79D02261" w14:textId="77777777" w:rsidR="00E222D0" w:rsidRDefault="00E222D0" w:rsidP="00E222D0">
      <w:pPr>
        <w:jc w:val="center"/>
      </w:pPr>
      <w:r w:rsidRPr="00E222D0">
        <w:rPr>
          <w:noProof/>
        </w:rPr>
        <w:drawing>
          <wp:inline distT="0" distB="0" distL="0" distR="0" wp14:anchorId="097B7222" wp14:editId="5FD6403E">
            <wp:extent cx="4572396" cy="3429297"/>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396" cy="3429297"/>
                    </a:xfrm>
                    <a:prstGeom prst="rect">
                      <a:avLst/>
                    </a:prstGeom>
                  </pic:spPr>
                </pic:pic>
              </a:graphicData>
            </a:graphic>
          </wp:inline>
        </w:drawing>
      </w:r>
    </w:p>
    <w:p w14:paraId="6A5FCE2B" w14:textId="15829C21" w:rsidR="00E222D0" w:rsidRPr="00E222D0" w:rsidRDefault="00E222D0" w:rsidP="00E222D0">
      <w:r w:rsidRPr="00E222D0">
        <w:t>In many organizations, going from a non-supervisory role to a supervisory role occurred in GS as a change from a GS-12 to a GS-13.  As both of those positions in the NH Career Path are NH-III positions, there was no opportunity to monetarily incentivize an employee with a base pay increase at the time of position change, only at the time of CCAS payout each January. This feature allows for an increase in pay at the time of position change.</w:t>
      </w:r>
    </w:p>
    <w:p w14:paraId="7875292D" w14:textId="77777777" w:rsidR="00E222D0" w:rsidRPr="00E222D0" w:rsidRDefault="00E222D0" w:rsidP="00E222D0">
      <w:r w:rsidRPr="00E222D0">
        <w:t xml:space="preserve">A cash differential is not paid from pay pool funds and is NOT included as part of basic pay for entitlement calculations (e.g., retirement and Thrift Savings Plan); and is subject to the total aggregate limitation on pay. Because it is not part of basic pay, supervisors or team leaders who are at the maximum basic pay for their respective broadband level may still receive a supervisory cash differential. </w:t>
      </w:r>
    </w:p>
    <w:p w14:paraId="41B99038" w14:textId="77777777" w:rsidR="00E222D0" w:rsidRPr="00E222D0" w:rsidRDefault="00E222D0" w:rsidP="00E222D0">
      <w:r w:rsidRPr="00E222D0">
        <w:t xml:space="preserve">It is paid on a pay period basis with a specified not to exceed date of one year or less; reviewed every year at the same time as the CCAS annual assessment and may be terminated or reduced as dictated by fiscal limitations, changes in assignment or scope of work, and/or an employee’s removal from the supervisory or team leader position regardless of cause. Termination or reduction of a cash differential is not an adverse action and is not subject to appeal or grievance. </w:t>
      </w:r>
    </w:p>
    <w:p w14:paraId="06DE8B57" w14:textId="77777777" w:rsidR="00E222D0" w:rsidRPr="00E222D0" w:rsidRDefault="00E222D0" w:rsidP="00E222D0">
      <w:r w:rsidRPr="00E222D0">
        <w:t xml:space="preserve">A signed statement by an employee receiving a cash differential acknowledging all of the stipulations will be required.     </w:t>
      </w:r>
    </w:p>
    <w:p w14:paraId="2B282AEF" w14:textId="4EAC6D7D" w:rsidR="00E222D0" w:rsidRPr="00E222D0" w:rsidRDefault="00E222D0" w:rsidP="00E222D0">
      <w:r w:rsidRPr="00E222D0">
        <w:t xml:space="preserve">The cash differentials are not automatic by virtue of holding a supervisory or team leader position. They will be used selectively, not routinely, to compensate only those supervisors and/or team leaders who fully meet the criteria. </w:t>
      </w:r>
    </w:p>
    <w:p w14:paraId="090B8ED0" w14:textId="3528333C" w:rsidR="00E222D0" w:rsidRDefault="00E222D0" w:rsidP="00E222D0">
      <w:pPr>
        <w:pStyle w:val="Heading2"/>
      </w:pPr>
      <w:bookmarkStart w:id="20" w:name="_Toc510512477"/>
      <w:r>
        <w:lastRenderedPageBreak/>
        <w:t>Accelerated Compensation for Developmental Positions (ACDP)</w:t>
      </w:r>
      <w:bookmarkEnd w:id="20"/>
    </w:p>
    <w:p w14:paraId="08ED116B" w14:textId="46F89C0C" w:rsidR="00E222D0" w:rsidRDefault="00E222D0" w:rsidP="00E222D0">
      <w:pPr>
        <w:jc w:val="center"/>
        <w:rPr>
          <w:rFonts w:asciiTheme="majorHAnsi" w:eastAsiaTheme="majorEastAsia" w:hAnsiTheme="majorHAnsi" w:cstheme="majorBidi"/>
          <w:b/>
          <w:bCs/>
          <w:color w:val="365F91" w:themeColor="accent1" w:themeShade="BF"/>
          <w:sz w:val="28"/>
          <w:szCs w:val="28"/>
        </w:rPr>
      </w:pPr>
      <w:r w:rsidRPr="00E222D0">
        <w:rPr>
          <w:rFonts w:asciiTheme="majorHAnsi" w:eastAsiaTheme="majorEastAsia" w:hAnsiTheme="majorHAnsi" w:cstheme="majorBidi"/>
          <w:b/>
          <w:bCs/>
          <w:noProof/>
          <w:color w:val="365F91" w:themeColor="accent1" w:themeShade="BF"/>
          <w:sz w:val="28"/>
          <w:szCs w:val="28"/>
        </w:rPr>
        <w:drawing>
          <wp:inline distT="0" distB="0" distL="0" distR="0" wp14:anchorId="641A7DA8" wp14:editId="675391D0">
            <wp:extent cx="4572396" cy="3429297"/>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pic:spPr>
                </pic:pic>
              </a:graphicData>
            </a:graphic>
          </wp:inline>
        </w:drawing>
      </w:r>
    </w:p>
    <w:p w14:paraId="4A874589" w14:textId="77777777" w:rsidR="00E222D0" w:rsidRDefault="00E222D0" w:rsidP="00E222D0">
      <w:pPr>
        <w:jc w:val="center"/>
        <w:rPr>
          <w:rFonts w:asciiTheme="majorHAnsi" w:eastAsiaTheme="majorEastAsia" w:hAnsiTheme="majorHAnsi" w:cstheme="majorBidi"/>
          <w:b/>
          <w:bCs/>
          <w:color w:val="365F91" w:themeColor="accent1" w:themeShade="BF"/>
          <w:sz w:val="28"/>
          <w:szCs w:val="28"/>
        </w:rPr>
      </w:pPr>
    </w:p>
    <w:p w14:paraId="72F457D4" w14:textId="77777777" w:rsidR="00E222D0" w:rsidRDefault="00E222D0" w:rsidP="00E222D0">
      <w:pPr>
        <w:jc w:val="center"/>
      </w:pPr>
      <w:r w:rsidRPr="00E222D0">
        <w:rPr>
          <w:noProof/>
        </w:rPr>
        <w:drawing>
          <wp:inline distT="0" distB="0" distL="0" distR="0" wp14:anchorId="5735500A" wp14:editId="334C6B45">
            <wp:extent cx="4572396" cy="3429297"/>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3429297"/>
                    </a:xfrm>
                    <a:prstGeom prst="rect">
                      <a:avLst/>
                    </a:prstGeom>
                  </pic:spPr>
                </pic:pic>
              </a:graphicData>
            </a:graphic>
          </wp:inline>
        </w:drawing>
      </w:r>
    </w:p>
    <w:p w14:paraId="2B62BBDB" w14:textId="77777777" w:rsidR="00E222D0" w:rsidRDefault="00E222D0">
      <w:r>
        <w:br w:type="page"/>
      </w:r>
    </w:p>
    <w:p w14:paraId="58AFC6CE" w14:textId="22DA4A57" w:rsidR="00E222D0" w:rsidRPr="00E222D0" w:rsidRDefault="00E222D0" w:rsidP="00E222D0">
      <w:r w:rsidRPr="00E222D0">
        <w:lastRenderedPageBreak/>
        <w:t>Often the term Career Ladder Position is used for these types of appointments.  Employees are guaranteed increases at the time certain milestones are met (often an anniversary date).</w:t>
      </w:r>
    </w:p>
    <w:p w14:paraId="6A6AA600" w14:textId="7A68826B" w:rsidR="00E222D0" w:rsidRPr="00E222D0" w:rsidRDefault="00E222D0" w:rsidP="00E222D0">
      <w:r w:rsidRPr="00E222D0">
        <w:t>Standards by which ACDP increases will be provided and development criteria by which additional basic pay increases may be given will be established in combination with the CCAS and documented in internal business rules, policies, and procedures.</w:t>
      </w:r>
    </w:p>
    <w:p w14:paraId="186F2DB0" w14:textId="77777777" w:rsidR="00E222D0" w:rsidRPr="00E222D0" w:rsidRDefault="00E222D0" w:rsidP="00E222D0">
      <w:r w:rsidRPr="00E222D0">
        <w:t xml:space="preserve">The amount of the ACDP increase may not cause the employee’s basic pay to exceed the top of the employee’s broadband level, the target pay for the employee’s maximum broadband level, or compensation strategy set by internal business rules, policies, or procedures for both the position’s value and employee contributions. </w:t>
      </w:r>
    </w:p>
    <w:p w14:paraId="7C386AB0" w14:textId="482A0CDF" w:rsidR="00E222D0" w:rsidRDefault="00E222D0" w:rsidP="00E222D0">
      <w:r w:rsidRPr="00E222D0">
        <w:t xml:space="preserve">A general O&amp;M budget allocation or equivalent for civilian salaries, as appropriate, would be used to cover ACDP basic pay increases. If approved, Defense Acquisition Workforce Development Funds (DAWDF) may be an additional source of funds for ACDPs. </w:t>
      </w:r>
    </w:p>
    <w:p w14:paraId="103CAF8A" w14:textId="77777777" w:rsidR="00E222D0" w:rsidRDefault="00E222D0">
      <w:r>
        <w:br w:type="page"/>
      </w:r>
    </w:p>
    <w:p w14:paraId="38FFCB61" w14:textId="0E921E83" w:rsidR="00E222D0" w:rsidRDefault="00E222D0" w:rsidP="00E222D0">
      <w:pPr>
        <w:pStyle w:val="Heading2"/>
      </w:pPr>
      <w:bookmarkStart w:id="21" w:name="_Toc510512478"/>
      <w:r>
        <w:lastRenderedPageBreak/>
        <w:t>Retained Pay Compensation Option</w:t>
      </w:r>
      <w:bookmarkEnd w:id="21"/>
    </w:p>
    <w:p w14:paraId="0ABEDC9D" w14:textId="16A94D33" w:rsidR="00E222D0" w:rsidRDefault="00E222D0" w:rsidP="00E222D0">
      <w:pPr>
        <w:jc w:val="center"/>
      </w:pPr>
      <w:r w:rsidRPr="00E222D0">
        <w:rPr>
          <w:noProof/>
        </w:rPr>
        <w:drawing>
          <wp:inline distT="0" distB="0" distL="0" distR="0" wp14:anchorId="3C49D5C4" wp14:editId="779A84C2">
            <wp:extent cx="4572396" cy="3429297"/>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3429297"/>
                    </a:xfrm>
                    <a:prstGeom prst="rect">
                      <a:avLst/>
                    </a:prstGeom>
                  </pic:spPr>
                </pic:pic>
              </a:graphicData>
            </a:graphic>
          </wp:inline>
        </w:drawing>
      </w:r>
    </w:p>
    <w:p w14:paraId="3E537848" w14:textId="4DF062BC" w:rsidR="00E222D0" w:rsidRDefault="00E222D0" w:rsidP="00E222D0">
      <w:pPr>
        <w:rPr>
          <w:i/>
          <w:iCs/>
        </w:rPr>
      </w:pPr>
      <w:r w:rsidRPr="00E222D0">
        <w:t>Pay retention provisions provide that an employee on pay retention whose most recent annual or interim (</w:t>
      </w:r>
      <w:r w:rsidR="00893340" w:rsidRPr="00E222D0">
        <w:t>contribution-based</w:t>
      </w:r>
      <w:r w:rsidRPr="00E222D0">
        <w:t xml:space="preserve"> action) assessment is Level 1- Unacceptable may have the 50 percent of the amount of the increase in maximum rate of basic pay payable for the broadband level of the employee’s position reduced denied or given in full</w:t>
      </w:r>
      <w:r w:rsidRPr="00E222D0">
        <w:rPr>
          <w:i/>
          <w:iCs/>
        </w:rPr>
        <w:t xml:space="preserve">. </w:t>
      </w:r>
    </w:p>
    <w:p w14:paraId="1A08A72F" w14:textId="5902643B" w:rsidR="00893340" w:rsidRDefault="00893340">
      <w:r>
        <w:br w:type="page"/>
      </w:r>
    </w:p>
    <w:p w14:paraId="456E8F28" w14:textId="2419B0A0" w:rsidR="00893340" w:rsidRDefault="00893340" w:rsidP="00893340">
      <w:pPr>
        <w:pStyle w:val="Heading2"/>
      </w:pPr>
      <w:bookmarkStart w:id="22" w:name="_Toc510512479"/>
      <w:r>
        <w:lastRenderedPageBreak/>
        <w:t>Performance Awards</w:t>
      </w:r>
      <w:bookmarkEnd w:id="22"/>
    </w:p>
    <w:p w14:paraId="26BC34F6" w14:textId="0899A95E" w:rsidR="00893340" w:rsidRDefault="00893340" w:rsidP="00893340">
      <w:pPr>
        <w:jc w:val="center"/>
      </w:pPr>
      <w:r w:rsidRPr="00893340">
        <w:rPr>
          <w:noProof/>
        </w:rPr>
        <w:drawing>
          <wp:inline distT="0" distB="0" distL="0" distR="0" wp14:anchorId="237B867A" wp14:editId="54E2BDCE">
            <wp:extent cx="4572396" cy="3429297"/>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3429297"/>
                    </a:xfrm>
                    <a:prstGeom prst="rect">
                      <a:avLst/>
                    </a:prstGeom>
                  </pic:spPr>
                </pic:pic>
              </a:graphicData>
            </a:graphic>
          </wp:inline>
        </w:drawing>
      </w:r>
    </w:p>
    <w:p w14:paraId="3C220E67" w14:textId="793F3060" w:rsidR="00893340" w:rsidRDefault="00893340" w:rsidP="00893340">
      <w:r w:rsidRPr="00893340">
        <w:t>To provide additional flexibility in motivating and rewarding individuals and groups, some portion of the performance award budget will be reserved for special acts and other categories as they occur. Awards may include, but are not limited to, special acts, patents, invention awards, suggestions, and on-the-spot. The funds available to be used for traditional title 5 U.S.C. awards are separately allocated within the constraints of the organization’s budget in the CCAS funding pools (minimum of 10% of CA award money must be set aside for cash awards given throughout the CCAS appraisal cycle).</w:t>
      </w:r>
    </w:p>
    <w:p w14:paraId="082FBAF4" w14:textId="2A23E1A8" w:rsidR="004A2646" w:rsidRDefault="004A2646">
      <w:r>
        <w:br w:type="page"/>
      </w:r>
    </w:p>
    <w:p w14:paraId="6FCDEFC1" w14:textId="463E41D7" w:rsidR="004A2646" w:rsidRDefault="004A2646" w:rsidP="00860AD6">
      <w:pPr>
        <w:pStyle w:val="Heading3"/>
      </w:pPr>
      <w:bookmarkStart w:id="23" w:name="_Toc510512480"/>
      <w:r>
        <w:lastRenderedPageBreak/>
        <w:t>Pay Administration Considerations Business Rules Decisions</w:t>
      </w:r>
      <w:bookmarkEnd w:id="23"/>
    </w:p>
    <w:p w14:paraId="06CA196A" w14:textId="22A50160" w:rsidR="004A2646" w:rsidRDefault="004A2646" w:rsidP="004A2646">
      <w:pPr>
        <w:jc w:val="center"/>
      </w:pPr>
      <w:r w:rsidRPr="004A2646">
        <w:rPr>
          <w:noProof/>
        </w:rPr>
        <w:drawing>
          <wp:inline distT="0" distB="0" distL="0" distR="0" wp14:anchorId="52482216" wp14:editId="34508A8C">
            <wp:extent cx="4572396" cy="3429297"/>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r>
        <w:t>\</w:t>
      </w:r>
    </w:p>
    <w:p w14:paraId="408272B5" w14:textId="77777777" w:rsidR="004A2646" w:rsidRDefault="004A2646" w:rsidP="004A2646">
      <w:pPr>
        <w:spacing w:line="360" w:lineRule="auto"/>
      </w:pPr>
      <w:r>
        <w:t>NOTES:</w:t>
      </w:r>
    </w:p>
    <w:p w14:paraId="67776B3C" w14:textId="77777777"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B59C2B2" w14:textId="77777777"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8F2810" w14:textId="77777777"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00E254" w14:textId="77777777"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F77560" w14:textId="77777777"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5EBAF1" w14:textId="77777777" w:rsidR="004A2646" w:rsidRPr="009605CE"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32876F" w14:textId="432FD2F9"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CBD6FF4" w14:textId="4F14AC2C" w:rsid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71DE654" w14:textId="38AC4A83" w:rsidR="004A2646" w:rsidRPr="004A2646" w:rsidRDefault="004A2646" w:rsidP="004A2646">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79C649B" w14:textId="77777777" w:rsidR="00893340" w:rsidRPr="00E222D0" w:rsidRDefault="00893340" w:rsidP="004A2646">
      <w:pPr>
        <w:jc w:val="center"/>
      </w:pPr>
    </w:p>
    <w:p w14:paraId="7B16928F" w14:textId="77777777" w:rsidR="00E222D0" w:rsidRPr="00E222D0" w:rsidRDefault="00E222D0" w:rsidP="00E222D0">
      <w:pPr>
        <w:jc w:val="center"/>
      </w:pPr>
    </w:p>
    <w:p w14:paraId="780EB9C5" w14:textId="00727C44" w:rsidR="008A4940" w:rsidRDefault="00DE4085" w:rsidP="00A91706">
      <w:pPr>
        <w:pStyle w:val="Heading1"/>
      </w:pPr>
      <w:bookmarkStart w:id="24" w:name="_Toc510512481"/>
      <w:r>
        <w:lastRenderedPageBreak/>
        <w:t xml:space="preserve">Chapter </w:t>
      </w:r>
      <w:r w:rsidR="0054131B">
        <w:t>4</w:t>
      </w:r>
      <w:r>
        <w:t>:  C</w:t>
      </w:r>
      <w:r w:rsidR="0054131B">
        <w:t>ontribution-Based Compensation and Appraisal System (CCAS) Considerations</w:t>
      </w:r>
      <w:bookmarkEnd w:id="24"/>
    </w:p>
    <w:p w14:paraId="67F9BE70" w14:textId="2C2D572F" w:rsidR="008A4940" w:rsidRDefault="00DC78AE" w:rsidP="008A4940">
      <w:pPr>
        <w:spacing w:line="360" w:lineRule="auto"/>
        <w:jc w:val="center"/>
      </w:pPr>
      <w:r w:rsidRPr="00DC78AE">
        <w:rPr>
          <w:noProof/>
        </w:rPr>
        <w:drawing>
          <wp:inline distT="0" distB="0" distL="0" distR="0" wp14:anchorId="62766576" wp14:editId="731F5354">
            <wp:extent cx="4572396" cy="3429297"/>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3429297"/>
                    </a:xfrm>
                    <a:prstGeom prst="rect">
                      <a:avLst/>
                    </a:prstGeom>
                  </pic:spPr>
                </pic:pic>
              </a:graphicData>
            </a:graphic>
          </wp:inline>
        </w:drawing>
      </w:r>
    </w:p>
    <w:p w14:paraId="730BC2E6" w14:textId="300FF398" w:rsidR="00C81A79" w:rsidRDefault="00C81A79" w:rsidP="00AC5213">
      <w:pPr>
        <w:autoSpaceDE w:val="0"/>
        <w:autoSpaceDN w:val="0"/>
        <w:adjustRightInd w:val="0"/>
        <w:spacing w:after="0" w:line="240" w:lineRule="auto"/>
      </w:pPr>
    </w:p>
    <w:p w14:paraId="2540E732" w14:textId="77777777" w:rsidR="00AC5213" w:rsidRDefault="00AC5213" w:rsidP="00AC5213">
      <w:pPr>
        <w:autoSpaceDE w:val="0"/>
        <w:autoSpaceDN w:val="0"/>
        <w:adjustRightInd w:val="0"/>
        <w:spacing w:after="0" w:line="240" w:lineRule="auto"/>
      </w:pPr>
      <w:r>
        <w:br/>
      </w:r>
    </w:p>
    <w:p w14:paraId="45F22388" w14:textId="172982F3" w:rsidR="00DB1C21" w:rsidRDefault="00DC78AE" w:rsidP="00DB1C21">
      <w:pPr>
        <w:pStyle w:val="Heading2"/>
      </w:pPr>
      <w:bookmarkStart w:id="25" w:name="_Toc510512482"/>
      <w:r>
        <w:lastRenderedPageBreak/>
        <w:t>CCAS Design Overview</w:t>
      </w:r>
      <w:bookmarkEnd w:id="25"/>
    </w:p>
    <w:p w14:paraId="754A0559" w14:textId="51D94601" w:rsidR="00DB1C21" w:rsidRDefault="00DC78AE" w:rsidP="00DB1C21">
      <w:pPr>
        <w:spacing w:line="360" w:lineRule="auto"/>
        <w:jc w:val="center"/>
      </w:pPr>
      <w:r w:rsidRPr="00DC78AE">
        <w:rPr>
          <w:noProof/>
        </w:rPr>
        <w:drawing>
          <wp:inline distT="0" distB="0" distL="0" distR="0" wp14:anchorId="175F79F8" wp14:editId="44D6DE42">
            <wp:extent cx="4572396" cy="3429297"/>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3429297"/>
                    </a:xfrm>
                    <a:prstGeom prst="rect">
                      <a:avLst/>
                    </a:prstGeom>
                  </pic:spPr>
                </pic:pic>
              </a:graphicData>
            </a:graphic>
          </wp:inline>
        </w:drawing>
      </w:r>
    </w:p>
    <w:p w14:paraId="07B272AE" w14:textId="20C9B5DA" w:rsidR="008A4940" w:rsidRDefault="00DC78AE" w:rsidP="0047410F">
      <w:pPr>
        <w:pStyle w:val="Heading2"/>
      </w:pPr>
      <w:bookmarkStart w:id="26" w:name="_Toc510512483"/>
      <w:r>
        <w:t>Key Terms</w:t>
      </w:r>
      <w:bookmarkEnd w:id="26"/>
    </w:p>
    <w:p w14:paraId="63E61F4D" w14:textId="62FA531F" w:rsidR="008A4940" w:rsidRDefault="00DC78AE" w:rsidP="008A4940">
      <w:pPr>
        <w:spacing w:line="360" w:lineRule="auto"/>
        <w:jc w:val="center"/>
      </w:pPr>
      <w:r w:rsidRPr="00DC78AE">
        <w:rPr>
          <w:noProof/>
        </w:rPr>
        <w:drawing>
          <wp:inline distT="0" distB="0" distL="0" distR="0" wp14:anchorId="3853CAE4" wp14:editId="019B659F">
            <wp:extent cx="4572396" cy="3429297"/>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396" cy="3429297"/>
                    </a:xfrm>
                    <a:prstGeom prst="rect">
                      <a:avLst/>
                    </a:prstGeom>
                  </pic:spPr>
                </pic:pic>
              </a:graphicData>
            </a:graphic>
          </wp:inline>
        </w:drawing>
      </w:r>
    </w:p>
    <w:p w14:paraId="3C5F9DAB" w14:textId="77777777" w:rsidR="00DC78AE" w:rsidRDefault="00DC78AE" w:rsidP="00D54F3C">
      <w:pPr>
        <w:rPr>
          <w:rFonts w:cstheme="minorHAnsi"/>
          <w:color w:val="000000"/>
        </w:rPr>
      </w:pPr>
    </w:p>
    <w:p w14:paraId="0B02C06E" w14:textId="77777777" w:rsidR="002369D7" w:rsidRDefault="002369D7">
      <w:pPr>
        <w:rPr>
          <w:rFonts w:cstheme="minorHAnsi"/>
          <w:color w:val="000000"/>
        </w:rPr>
      </w:pPr>
      <w:r>
        <w:rPr>
          <w:rFonts w:cstheme="minorHAnsi"/>
          <w:color w:val="000000"/>
        </w:rPr>
        <w:br w:type="page"/>
      </w:r>
    </w:p>
    <w:p w14:paraId="039D0000" w14:textId="5EF19801" w:rsidR="002369D7" w:rsidRDefault="00BE1899" w:rsidP="002369D7">
      <w:pPr>
        <w:pStyle w:val="Heading2"/>
      </w:pPr>
      <w:bookmarkStart w:id="27" w:name="_Toc510512484"/>
      <w:r>
        <w:lastRenderedPageBreak/>
        <w:t>CCAS Cycle</w:t>
      </w:r>
      <w:bookmarkEnd w:id="27"/>
    </w:p>
    <w:p w14:paraId="75614922" w14:textId="572A05E2" w:rsidR="00BE1899" w:rsidRDefault="00BE1899" w:rsidP="00BE1899">
      <w:pPr>
        <w:jc w:val="center"/>
      </w:pPr>
      <w:r w:rsidRPr="00BE1899">
        <w:rPr>
          <w:noProof/>
        </w:rPr>
        <w:drawing>
          <wp:inline distT="0" distB="0" distL="0" distR="0" wp14:anchorId="2D187E4B" wp14:editId="1FB1DB97">
            <wp:extent cx="4572396" cy="3429297"/>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pic:spPr>
                </pic:pic>
              </a:graphicData>
            </a:graphic>
          </wp:inline>
        </w:drawing>
      </w:r>
    </w:p>
    <w:p w14:paraId="0230917D" w14:textId="5C760E76" w:rsidR="00BE1899" w:rsidRPr="00BE1899" w:rsidRDefault="00BE1899" w:rsidP="00BE1899">
      <w:pPr>
        <w:pStyle w:val="Heading2"/>
      </w:pPr>
      <w:bookmarkStart w:id="28" w:name="_Toc510512485"/>
      <w:r>
        <w:t>Contribution Planning</w:t>
      </w:r>
      <w:bookmarkEnd w:id="28"/>
    </w:p>
    <w:p w14:paraId="3915B0C7" w14:textId="77777777" w:rsidR="002369D7" w:rsidRDefault="002369D7" w:rsidP="00267012">
      <w:pPr>
        <w:autoSpaceDE w:val="0"/>
        <w:autoSpaceDN w:val="0"/>
        <w:adjustRightInd w:val="0"/>
        <w:spacing w:after="0" w:line="240" w:lineRule="auto"/>
        <w:rPr>
          <w:rFonts w:cstheme="minorHAnsi"/>
          <w:color w:val="000000"/>
        </w:rPr>
      </w:pPr>
    </w:p>
    <w:p w14:paraId="102BA5A7" w14:textId="0ED56B4F" w:rsidR="002369D7" w:rsidRDefault="00BE1899" w:rsidP="00571BF8">
      <w:pPr>
        <w:autoSpaceDE w:val="0"/>
        <w:autoSpaceDN w:val="0"/>
        <w:adjustRightInd w:val="0"/>
        <w:spacing w:after="0" w:line="240" w:lineRule="auto"/>
        <w:jc w:val="center"/>
        <w:rPr>
          <w:rFonts w:cstheme="minorHAnsi"/>
          <w:color w:val="000000"/>
        </w:rPr>
      </w:pPr>
      <w:r w:rsidRPr="00BE1899">
        <w:rPr>
          <w:rFonts w:cstheme="minorHAnsi"/>
          <w:noProof/>
          <w:color w:val="000000"/>
        </w:rPr>
        <w:drawing>
          <wp:inline distT="0" distB="0" distL="0" distR="0" wp14:anchorId="2C825EE9" wp14:editId="207FE6BD">
            <wp:extent cx="4572396" cy="3429297"/>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396" cy="3429297"/>
                    </a:xfrm>
                    <a:prstGeom prst="rect">
                      <a:avLst/>
                    </a:prstGeom>
                  </pic:spPr>
                </pic:pic>
              </a:graphicData>
            </a:graphic>
          </wp:inline>
        </w:drawing>
      </w:r>
    </w:p>
    <w:p w14:paraId="757EA599" w14:textId="77777777" w:rsidR="00571BF8" w:rsidRDefault="00571BF8" w:rsidP="00267012">
      <w:pPr>
        <w:autoSpaceDE w:val="0"/>
        <w:autoSpaceDN w:val="0"/>
        <w:adjustRightInd w:val="0"/>
        <w:spacing w:after="0" w:line="240" w:lineRule="auto"/>
        <w:rPr>
          <w:rFonts w:cstheme="minorHAnsi"/>
          <w:color w:val="000000"/>
        </w:rPr>
      </w:pPr>
    </w:p>
    <w:p w14:paraId="26DDAD05" w14:textId="410D589A" w:rsidR="007A5133" w:rsidRDefault="00BE1899">
      <w:pPr>
        <w:rPr>
          <w:rFonts w:asciiTheme="majorHAnsi" w:eastAsiaTheme="majorEastAsia" w:hAnsiTheme="majorHAnsi" w:cstheme="majorBidi"/>
          <w:b/>
          <w:bCs/>
          <w:color w:val="4F81BD" w:themeColor="accent1"/>
          <w:sz w:val="26"/>
          <w:szCs w:val="26"/>
        </w:rPr>
      </w:pPr>
      <w:r w:rsidRPr="00BE1899">
        <w:t>Like any other performance management system, planning the rating cycle work assignments and expectations of them is the key first step</w:t>
      </w:r>
      <w:r>
        <w:t>.</w:t>
      </w:r>
      <w:r w:rsidR="007A5133">
        <w:br w:type="page"/>
      </w:r>
    </w:p>
    <w:p w14:paraId="2E73A3AD" w14:textId="549F1D15" w:rsidR="008A4940" w:rsidRDefault="00BE1899" w:rsidP="008A4940">
      <w:pPr>
        <w:spacing w:line="360" w:lineRule="auto"/>
        <w:jc w:val="center"/>
      </w:pPr>
      <w:r w:rsidRPr="00BE1899">
        <w:rPr>
          <w:noProof/>
        </w:rPr>
        <w:lastRenderedPageBreak/>
        <w:drawing>
          <wp:inline distT="0" distB="0" distL="0" distR="0" wp14:anchorId="6C821D47" wp14:editId="56AA0C1A">
            <wp:extent cx="4572396" cy="3429297"/>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3429297"/>
                    </a:xfrm>
                    <a:prstGeom prst="rect">
                      <a:avLst/>
                    </a:prstGeom>
                  </pic:spPr>
                </pic:pic>
              </a:graphicData>
            </a:graphic>
          </wp:inline>
        </w:drawing>
      </w:r>
    </w:p>
    <w:p w14:paraId="772B8E16" w14:textId="46526197" w:rsidR="00BE1899" w:rsidRDefault="00BE1899" w:rsidP="008A4940">
      <w:pPr>
        <w:spacing w:line="360" w:lineRule="auto"/>
        <w:jc w:val="center"/>
      </w:pPr>
      <w:r w:rsidRPr="00BE1899">
        <w:rPr>
          <w:noProof/>
        </w:rPr>
        <w:drawing>
          <wp:inline distT="0" distB="0" distL="0" distR="0" wp14:anchorId="28191923" wp14:editId="65E61221">
            <wp:extent cx="4572396" cy="3429297"/>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396" cy="3429297"/>
                    </a:xfrm>
                    <a:prstGeom prst="rect">
                      <a:avLst/>
                    </a:prstGeom>
                  </pic:spPr>
                </pic:pic>
              </a:graphicData>
            </a:graphic>
          </wp:inline>
        </w:drawing>
      </w:r>
    </w:p>
    <w:p w14:paraId="255AFCA4" w14:textId="387DB989" w:rsidR="006B5520" w:rsidRDefault="00BE1899" w:rsidP="00BE1899">
      <w:pPr>
        <w:pStyle w:val="NoSpacing"/>
        <w:jc w:val="center"/>
      </w:pPr>
      <w:r w:rsidRPr="00BE1899">
        <w:rPr>
          <w:noProof/>
        </w:rPr>
        <w:lastRenderedPageBreak/>
        <w:drawing>
          <wp:inline distT="0" distB="0" distL="0" distR="0" wp14:anchorId="1061C400" wp14:editId="7B2FE1BB">
            <wp:extent cx="4355757" cy="3266818"/>
            <wp:effectExtent l="0" t="0" r="698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65026" cy="3273770"/>
                    </a:xfrm>
                    <a:prstGeom prst="rect">
                      <a:avLst/>
                    </a:prstGeom>
                  </pic:spPr>
                </pic:pic>
              </a:graphicData>
            </a:graphic>
          </wp:inline>
        </w:drawing>
      </w:r>
    </w:p>
    <w:p w14:paraId="4A43A119" w14:textId="1F881E3E" w:rsidR="00BE1899" w:rsidRDefault="00BE1899" w:rsidP="00BE1899">
      <w:pPr>
        <w:pStyle w:val="NoSpacing"/>
        <w:jc w:val="center"/>
      </w:pPr>
    </w:p>
    <w:p w14:paraId="5778E909" w14:textId="2B13664A" w:rsidR="00BE1899" w:rsidRDefault="00BE1899" w:rsidP="00BE1899">
      <w:r>
        <w:t xml:space="preserve">Each employee </w:t>
      </w:r>
      <w:r w:rsidRPr="00BE1899">
        <w:t>being the appraisal cycle with an Expected Overall Contribution Score (EOCS), which is based on their basic</w:t>
      </w:r>
      <w:r>
        <w:t xml:space="preserve"> pay.  This places them with a category for which they should target their contributions.</w:t>
      </w:r>
    </w:p>
    <w:p w14:paraId="3C0A1327" w14:textId="77777777" w:rsidR="002645B2" w:rsidRPr="002B22EC" w:rsidRDefault="002645B2" w:rsidP="002645B2">
      <w:pPr>
        <w:pStyle w:val="NoSpacing"/>
        <w:rPr>
          <w:b/>
          <w:u w:val="single"/>
        </w:rPr>
      </w:pPr>
      <w:r w:rsidRPr="002B22EC">
        <w:rPr>
          <w:b/>
          <w:u w:val="single"/>
        </w:rPr>
        <w:t xml:space="preserve">Descriptors </w:t>
      </w:r>
    </w:p>
    <w:p w14:paraId="698D841A" w14:textId="77777777" w:rsidR="002645B2" w:rsidRDefault="002645B2" w:rsidP="002645B2">
      <w:pPr>
        <w:pStyle w:val="NoSpacing"/>
      </w:pPr>
    </w:p>
    <w:p w14:paraId="7511B77A" w14:textId="77777777" w:rsidR="002645B2" w:rsidRPr="000F6035" w:rsidRDefault="002645B2" w:rsidP="002645B2">
      <w:pPr>
        <w:pStyle w:val="NoSpacing"/>
      </w:pPr>
      <w:r>
        <w:t>Every f</w:t>
      </w:r>
      <w:r w:rsidRPr="000F6035">
        <w:t xml:space="preserve">actor contains descriptors for each respective </w:t>
      </w:r>
      <w:r>
        <w:t xml:space="preserve">broadband </w:t>
      </w:r>
      <w:r w:rsidRPr="000F6035">
        <w:t xml:space="preserve">level within the relevant career path. The descriptors state </w:t>
      </w:r>
      <w:r w:rsidRPr="005F4037">
        <w:rPr>
          <w:bCs/>
        </w:rPr>
        <w:t>what is important to the mission of the organization and describe employees’ contributions at different broadband levels</w:t>
      </w:r>
      <w:r w:rsidRPr="000F6035">
        <w:rPr>
          <w:i/>
        </w:rPr>
        <w:t>.</w:t>
      </w:r>
      <w:r w:rsidRPr="000F6035">
        <w:t xml:space="preserve"> They were developed at the highest GS grade encompassed in the broadband level to foster employee gro</w:t>
      </w:r>
      <w:r>
        <w:t>wth within the broadband level.</w:t>
      </w:r>
    </w:p>
    <w:p w14:paraId="43B8C1F3" w14:textId="77777777" w:rsidR="002645B2" w:rsidRDefault="002645B2" w:rsidP="002645B2">
      <w:pPr>
        <w:pStyle w:val="NoSpacing"/>
      </w:pPr>
    </w:p>
    <w:p w14:paraId="21F56038" w14:textId="77777777" w:rsidR="002645B2" w:rsidRDefault="002645B2" w:rsidP="002645B2">
      <w:pPr>
        <w:pStyle w:val="NoSpacing"/>
      </w:pPr>
      <w:r>
        <w:t xml:space="preserve">Descriptors </w:t>
      </w:r>
      <w:r w:rsidRPr="000F6035">
        <w:t>define increasing levels of contribution</w:t>
      </w:r>
      <w:r>
        <w:t xml:space="preserve"> for each broadband level</w:t>
      </w:r>
      <w:r w:rsidRPr="000F6035">
        <w:t xml:space="preserve">. </w:t>
      </w:r>
      <w:r>
        <w:t>W</w:t>
      </w:r>
      <w:r w:rsidRPr="001B648D">
        <w:t>ork performed by individuals in a particular career path is evaluated against the same descriptors, and contribution is determined by</w:t>
      </w:r>
      <w:r>
        <w:t xml:space="preserve"> a group consensus through the pay pool panel process.</w:t>
      </w:r>
    </w:p>
    <w:p w14:paraId="5D790F1F" w14:textId="77777777" w:rsidR="002645B2" w:rsidRDefault="002645B2" w:rsidP="002645B2">
      <w:pPr>
        <w:pStyle w:val="NoSpacing"/>
      </w:pPr>
    </w:p>
    <w:p w14:paraId="46F191C3" w14:textId="77777777" w:rsidR="002645B2" w:rsidRPr="002B22EC" w:rsidRDefault="002645B2" w:rsidP="002645B2">
      <w:pPr>
        <w:pStyle w:val="NoSpacing"/>
        <w:rPr>
          <w:b/>
          <w:u w:val="single"/>
        </w:rPr>
      </w:pPr>
      <w:r w:rsidRPr="002B22EC">
        <w:rPr>
          <w:b/>
          <w:u w:val="single"/>
        </w:rPr>
        <w:t xml:space="preserve">Discriminators </w:t>
      </w:r>
    </w:p>
    <w:p w14:paraId="3C71C2FA" w14:textId="77777777" w:rsidR="002645B2" w:rsidRDefault="002645B2" w:rsidP="002645B2">
      <w:pPr>
        <w:pStyle w:val="NoSpacing"/>
        <w:rPr>
          <w:bCs/>
          <w:i/>
        </w:rPr>
      </w:pPr>
    </w:p>
    <w:p w14:paraId="7351C231" w14:textId="77777777" w:rsidR="002645B2" w:rsidRDefault="002645B2" w:rsidP="002645B2">
      <w:pPr>
        <w:pStyle w:val="NoSpacing"/>
        <w:rPr>
          <w:kern w:val="24"/>
          <w:sz w:val="24"/>
          <w:szCs w:val="24"/>
        </w:rPr>
      </w:pPr>
      <w:r>
        <w:rPr>
          <w:bCs/>
        </w:rPr>
        <w:t>Discriminators refine the f</w:t>
      </w:r>
      <w:r w:rsidRPr="005F4037">
        <w:rPr>
          <w:bCs/>
        </w:rPr>
        <w:t>actors</w:t>
      </w:r>
      <w:r w:rsidRPr="000F6035">
        <w:t>. They are the same for all levels of contribution. Discriminators include: leadership role, breadth of influence, mentoring/employee development, complexity/difficulty, level of interaction, planning/budgeting, etc.</w:t>
      </w:r>
    </w:p>
    <w:p w14:paraId="2293B5AF" w14:textId="77777777" w:rsidR="002645B2" w:rsidRDefault="002645B2" w:rsidP="002645B2">
      <w:pPr>
        <w:pStyle w:val="NoSpacing"/>
        <w:rPr>
          <w:rFonts w:eastAsiaTheme="minorHAnsi"/>
        </w:rPr>
      </w:pPr>
    </w:p>
    <w:p w14:paraId="17ADB2FF" w14:textId="77777777" w:rsidR="002645B2" w:rsidRPr="001B648D" w:rsidRDefault="002645B2" w:rsidP="002645B2">
      <w:pPr>
        <w:pStyle w:val="NoSpacing"/>
      </w:pPr>
      <w:r w:rsidRPr="001B648D">
        <w:t xml:space="preserve">It is recommended that the pay pool panels meet at the beginning of each appraisal cycle to discuss and reach a common understanding of the factors, discriminators, and descriptors. </w:t>
      </w:r>
    </w:p>
    <w:p w14:paraId="2247EADE" w14:textId="6010E3C4" w:rsidR="002645B2" w:rsidRDefault="002645B2">
      <w:r>
        <w:br w:type="page"/>
      </w:r>
    </w:p>
    <w:p w14:paraId="209A71EA" w14:textId="0BA72ADD" w:rsidR="002645B2" w:rsidRDefault="002645B2" w:rsidP="002645B2">
      <w:pPr>
        <w:pStyle w:val="Heading2"/>
      </w:pPr>
      <w:bookmarkStart w:id="29" w:name="_Toc510512486"/>
      <w:r>
        <w:lastRenderedPageBreak/>
        <w:t>Employee Self- and Supervisor Assessments</w:t>
      </w:r>
      <w:bookmarkEnd w:id="29"/>
    </w:p>
    <w:p w14:paraId="0CB62267" w14:textId="07714CC2" w:rsidR="008A4940" w:rsidRDefault="00BE1899" w:rsidP="008A4940">
      <w:pPr>
        <w:spacing w:line="360" w:lineRule="auto"/>
        <w:jc w:val="center"/>
      </w:pPr>
      <w:r w:rsidRPr="00BE1899">
        <w:rPr>
          <w:noProof/>
        </w:rPr>
        <w:drawing>
          <wp:inline distT="0" distB="0" distL="0" distR="0" wp14:anchorId="5B06D1AE" wp14:editId="316EDECC">
            <wp:extent cx="4256903" cy="3192677"/>
            <wp:effectExtent l="0" t="0" r="0" b="825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62325" cy="3196743"/>
                    </a:xfrm>
                    <a:prstGeom prst="rect">
                      <a:avLst/>
                    </a:prstGeom>
                  </pic:spPr>
                </pic:pic>
              </a:graphicData>
            </a:graphic>
          </wp:inline>
        </w:drawing>
      </w:r>
    </w:p>
    <w:p w14:paraId="54E8D797" w14:textId="65148145" w:rsidR="00BE1899" w:rsidRPr="00BE1899" w:rsidRDefault="00BE1899" w:rsidP="00BE1899">
      <w:r w:rsidRPr="00BE1899">
        <w:t xml:space="preserve">Neither the </w:t>
      </w:r>
      <w:r w:rsidR="002645B2">
        <w:t xml:space="preserve">AcqDemo </w:t>
      </w:r>
      <w:r w:rsidRPr="00BE1899">
        <w:t>regulation</w:t>
      </w:r>
      <w:r w:rsidR="002645B2">
        <w:t>s,</w:t>
      </w:r>
      <w:r w:rsidRPr="00BE1899">
        <w:t xml:space="preserve"> nor the AcqDemo Operating Guide</w:t>
      </w:r>
      <w:r w:rsidR="002645B2">
        <w:t>,</w:t>
      </w:r>
      <w:r w:rsidRPr="00BE1899">
        <w:t xml:space="preserve"> requires an employee to prepare and submit an annual self-assessment. The Participating Organization, however, may choose to make employee self-assessments mandatory. </w:t>
      </w:r>
    </w:p>
    <w:p w14:paraId="370DB17C" w14:textId="347FEAEF" w:rsidR="00BE1899" w:rsidRDefault="00E56809" w:rsidP="008A4940">
      <w:pPr>
        <w:spacing w:line="360" w:lineRule="auto"/>
        <w:jc w:val="center"/>
      </w:pPr>
      <w:r w:rsidRPr="00E56809">
        <w:rPr>
          <w:noProof/>
        </w:rPr>
        <w:drawing>
          <wp:inline distT="0" distB="0" distL="0" distR="0" wp14:anchorId="2A64A15A" wp14:editId="718EBAF5">
            <wp:extent cx="4572396" cy="3429297"/>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p>
    <w:p w14:paraId="0D7F9107" w14:textId="394875E1" w:rsidR="002645B2" w:rsidRPr="002645B2" w:rsidRDefault="002645B2" w:rsidP="002645B2">
      <w:r w:rsidRPr="002645B2">
        <w:lastRenderedPageBreak/>
        <w:t>At the end of the appraisal cycle, employees and supervisors will complete self and supervisory assessments.</w:t>
      </w:r>
      <w:r>
        <w:t xml:space="preserve">  </w:t>
      </w:r>
      <w:r w:rsidRPr="002645B2">
        <w:t xml:space="preserve">The annual assessments are written to address contributions made throughout the year for each contribution factor.   This is an example of addressing the factor, Job Achievement and/or Innovation. </w:t>
      </w:r>
    </w:p>
    <w:p w14:paraId="71EB8119" w14:textId="29B89B6E" w:rsidR="002645B2" w:rsidRPr="002645B2" w:rsidRDefault="002645B2" w:rsidP="002645B2">
      <w:r w:rsidRPr="002645B2">
        <w:t>When writing contribution self-assessments, emphasis is placed not on the “what” (activity) and “how” (level of performance) but the “why” (mission) and the “who” (customers)… impact and results.</w:t>
      </w:r>
    </w:p>
    <w:p w14:paraId="7894E7E0" w14:textId="43B95779" w:rsidR="002645B2" w:rsidRDefault="002645B2">
      <w:r>
        <w:br w:type="page"/>
      </w:r>
    </w:p>
    <w:p w14:paraId="3E654EB0" w14:textId="56266EA5" w:rsidR="008535BC" w:rsidRDefault="008535BC" w:rsidP="008535BC">
      <w:pPr>
        <w:pStyle w:val="Heading2"/>
      </w:pPr>
      <w:bookmarkStart w:id="30" w:name="_Toc510512487"/>
      <w:r>
        <w:lastRenderedPageBreak/>
        <w:t>Scoring</w:t>
      </w:r>
      <w:bookmarkEnd w:id="30"/>
    </w:p>
    <w:p w14:paraId="385D9406" w14:textId="55C5E347" w:rsidR="002645B2" w:rsidRDefault="002645B2" w:rsidP="002645B2">
      <w:pPr>
        <w:spacing w:line="360" w:lineRule="auto"/>
        <w:jc w:val="center"/>
      </w:pPr>
      <w:r w:rsidRPr="002645B2">
        <w:rPr>
          <w:noProof/>
        </w:rPr>
        <w:drawing>
          <wp:inline distT="0" distB="0" distL="0" distR="0" wp14:anchorId="706F55C4" wp14:editId="7A3A249B">
            <wp:extent cx="4572396" cy="3429297"/>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p>
    <w:p w14:paraId="37463660" w14:textId="1193428F" w:rsidR="002645B2" w:rsidRDefault="002645B2" w:rsidP="002645B2">
      <w:pPr>
        <w:spacing w:line="360" w:lineRule="auto"/>
        <w:jc w:val="center"/>
      </w:pPr>
      <w:r w:rsidRPr="002645B2">
        <w:rPr>
          <w:noProof/>
        </w:rPr>
        <w:drawing>
          <wp:inline distT="0" distB="0" distL="0" distR="0" wp14:anchorId="42F6B20A" wp14:editId="0D18F59D">
            <wp:extent cx="4572396" cy="3429297"/>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p>
    <w:p w14:paraId="596D161B" w14:textId="1F6DBB2D" w:rsidR="002645B2" w:rsidRDefault="002645B2" w:rsidP="002645B2">
      <w:r>
        <w:t xml:space="preserve">Supervisors will recommend, and pay pools will </w:t>
      </w:r>
      <w:r w:rsidRPr="002645B2">
        <w:t>ultimately approve</w:t>
      </w:r>
      <w:r>
        <w:t xml:space="preserve"> scores for each factor, which in turn will be averaged and rounded to the nearest whole number to determine each employees final Overall Contribution Score (OCS).</w:t>
      </w:r>
    </w:p>
    <w:p w14:paraId="6333051A" w14:textId="120FF027" w:rsidR="00BE1899" w:rsidRDefault="008535BC" w:rsidP="008535BC">
      <w:pPr>
        <w:pStyle w:val="Heading2"/>
      </w:pPr>
      <w:bookmarkStart w:id="31" w:name="_Toc510512488"/>
      <w:r>
        <w:lastRenderedPageBreak/>
        <w:t>Very High Score</w:t>
      </w:r>
      <w:bookmarkEnd w:id="31"/>
    </w:p>
    <w:p w14:paraId="0F39631A" w14:textId="66545DB2" w:rsidR="005F4037" w:rsidRDefault="009F54D3" w:rsidP="009F54D3">
      <w:pPr>
        <w:pStyle w:val="NoSpacing"/>
        <w:jc w:val="center"/>
      </w:pPr>
      <w:r w:rsidRPr="009F54D3">
        <w:rPr>
          <w:noProof/>
        </w:rPr>
        <w:drawing>
          <wp:inline distT="0" distB="0" distL="0" distR="0" wp14:anchorId="5B71FC90" wp14:editId="3EF308B0">
            <wp:extent cx="4572396" cy="3429297"/>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p>
    <w:p w14:paraId="4D9B6F1F" w14:textId="3371C6B0" w:rsidR="009F54D3" w:rsidRDefault="009F54D3" w:rsidP="009F54D3">
      <w:pPr>
        <w:pStyle w:val="NoSpacing"/>
        <w:jc w:val="center"/>
      </w:pPr>
    </w:p>
    <w:p w14:paraId="42F87D13" w14:textId="07ECAB88" w:rsidR="009F54D3" w:rsidRDefault="009F54D3" w:rsidP="009F54D3">
      <w:pPr>
        <w:pStyle w:val="NoSpacing"/>
        <w:spacing w:line="276" w:lineRule="auto"/>
      </w:pPr>
      <w:r w:rsidRPr="009F54D3">
        <w:t xml:space="preserve">Very high scores </w:t>
      </w:r>
      <w:r>
        <w:t>are</w:t>
      </w:r>
      <w:r w:rsidRPr="009F54D3">
        <w:t xml:space="preserve"> available to recognize an employee for exemplary contributions and overall quality of performance the results of which are substantially beyond what was expected and warrant a score exceeding the top score for the highest broadband level in the employee’s career path. </w:t>
      </w:r>
    </w:p>
    <w:p w14:paraId="1D7D3A1A" w14:textId="77777777" w:rsidR="009F54D3" w:rsidRPr="009F54D3" w:rsidRDefault="009F54D3" w:rsidP="009F54D3">
      <w:pPr>
        <w:pStyle w:val="NoSpacing"/>
        <w:spacing w:line="276" w:lineRule="auto"/>
      </w:pPr>
    </w:p>
    <w:p w14:paraId="51E3155F" w14:textId="2863B920" w:rsidR="009F54D3" w:rsidRDefault="009F54D3" w:rsidP="009F54D3">
      <w:pPr>
        <w:pStyle w:val="NoSpacing"/>
        <w:spacing w:line="276" w:lineRule="auto"/>
      </w:pPr>
      <w:r w:rsidRPr="009F54D3">
        <w:t xml:space="preserve">Very high scores for factors may only be assigned to employees holding a position in NH IV, NJ IV, or </w:t>
      </w:r>
      <w:r>
        <w:br/>
      </w:r>
      <w:r w:rsidRPr="009F54D3">
        <w:t>NK III career paths.</w:t>
      </w:r>
    </w:p>
    <w:p w14:paraId="14C1C051" w14:textId="67FBA609" w:rsidR="008535BC" w:rsidRDefault="008535BC">
      <w:pPr>
        <w:rPr>
          <w:rFonts w:eastAsiaTheme="minorEastAsia"/>
        </w:rPr>
      </w:pPr>
      <w:r>
        <w:br w:type="page"/>
      </w:r>
    </w:p>
    <w:p w14:paraId="53165D72" w14:textId="46C10B3C" w:rsidR="008535BC" w:rsidRDefault="008535BC" w:rsidP="00860AD6">
      <w:pPr>
        <w:pStyle w:val="Heading3"/>
      </w:pPr>
      <w:bookmarkStart w:id="32" w:name="_Toc510512489"/>
      <w:r>
        <w:lastRenderedPageBreak/>
        <w:t>C</w:t>
      </w:r>
      <w:r w:rsidR="00E56809">
        <w:t xml:space="preserve">ontribution Planning, Employee Self- and Supervisor Assessments, and Scoring </w:t>
      </w:r>
      <w:r>
        <w:t>Business Rules Decision</w:t>
      </w:r>
      <w:r w:rsidR="00E56809">
        <w:t>s</w:t>
      </w:r>
      <w:bookmarkEnd w:id="32"/>
    </w:p>
    <w:p w14:paraId="35C148E6" w14:textId="77777777" w:rsidR="008535BC" w:rsidRDefault="008535BC" w:rsidP="008535BC">
      <w:pPr>
        <w:pStyle w:val="NoSpacing"/>
        <w:spacing w:line="276" w:lineRule="auto"/>
        <w:jc w:val="center"/>
      </w:pPr>
    </w:p>
    <w:p w14:paraId="3C1D9377" w14:textId="001AB9B2" w:rsidR="008535BC" w:rsidRDefault="00E56809" w:rsidP="008535BC">
      <w:pPr>
        <w:pStyle w:val="NoSpacing"/>
        <w:spacing w:line="276" w:lineRule="auto"/>
        <w:jc w:val="center"/>
      </w:pPr>
      <w:r w:rsidRPr="00E56809">
        <w:rPr>
          <w:noProof/>
        </w:rPr>
        <w:drawing>
          <wp:inline distT="0" distB="0" distL="0" distR="0" wp14:anchorId="024ADA9D" wp14:editId="0CB16A0B">
            <wp:extent cx="4572396" cy="342929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p>
    <w:p w14:paraId="4C4753C8" w14:textId="77777777" w:rsidR="00E56809" w:rsidRDefault="00E56809" w:rsidP="00E56809">
      <w:pPr>
        <w:spacing w:line="360" w:lineRule="auto"/>
      </w:pPr>
    </w:p>
    <w:p w14:paraId="27F215D7" w14:textId="6AF175F6" w:rsidR="00E56809" w:rsidRDefault="00E56809" w:rsidP="00E56809">
      <w:pPr>
        <w:spacing w:line="360" w:lineRule="auto"/>
      </w:pPr>
      <w:r>
        <w:t>NOTES:</w:t>
      </w:r>
    </w:p>
    <w:p w14:paraId="0D3C9760"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887EF2D"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1EF7F1E"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BEC7FB6"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AEC2C7A"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73297A" w14:textId="77777777" w:rsidR="00E56809" w:rsidRPr="009605CE"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A0AE90A"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F9AF58D" w14:textId="77777777" w:rsidR="00E56809"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6CB2904" w14:textId="77777777" w:rsidR="00E56809" w:rsidRPr="004A2646" w:rsidRDefault="00E56809" w:rsidP="00E5680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09B59B" w14:textId="52D26126" w:rsidR="008A4940" w:rsidRDefault="0062360B" w:rsidP="0000058F">
      <w:pPr>
        <w:pStyle w:val="Heading2"/>
      </w:pPr>
      <w:bookmarkStart w:id="33" w:name="_Toc510512490"/>
      <w:r>
        <w:lastRenderedPageBreak/>
        <w:t>Pay Pool Funding</w:t>
      </w:r>
      <w:bookmarkEnd w:id="33"/>
    </w:p>
    <w:p w14:paraId="6A88BC58" w14:textId="6C2A0C37" w:rsidR="008A4940" w:rsidRDefault="0062360B" w:rsidP="008A4940">
      <w:pPr>
        <w:spacing w:line="360" w:lineRule="auto"/>
        <w:jc w:val="center"/>
      </w:pPr>
      <w:r w:rsidRPr="0062360B">
        <w:rPr>
          <w:noProof/>
        </w:rPr>
        <w:drawing>
          <wp:inline distT="0" distB="0" distL="0" distR="0" wp14:anchorId="242391DE" wp14:editId="039FBD1B">
            <wp:extent cx="4572396" cy="3429297"/>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p>
    <w:p w14:paraId="7522E4EF" w14:textId="77777777" w:rsidR="002E0331" w:rsidRDefault="0062360B" w:rsidP="0062360B">
      <w:pPr>
        <w:autoSpaceDE w:val="0"/>
        <w:autoSpaceDN w:val="0"/>
        <w:adjustRightInd w:val="0"/>
        <w:spacing w:after="0" w:line="240" w:lineRule="auto"/>
        <w:rPr>
          <w:rFonts w:cstheme="minorHAnsi"/>
          <w:color w:val="000000"/>
        </w:rPr>
      </w:pPr>
      <w:r>
        <w:rPr>
          <w:rFonts w:cstheme="minorHAnsi"/>
          <w:color w:val="000000"/>
        </w:rPr>
        <w:t>T</w:t>
      </w:r>
      <w:r w:rsidRPr="0062360B">
        <w:rPr>
          <w:rFonts w:cstheme="minorHAnsi"/>
          <w:color w:val="000000"/>
        </w:rPr>
        <w:t>here are three funding elements of AcqDemo</w:t>
      </w:r>
      <w:r w:rsidR="002E0331">
        <w:rPr>
          <w:rFonts w:cstheme="minorHAnsi"/>
          <w:color w:val="000000"/>
        </w:rPr>
        <w:t xml:space="preserve">.  </w:t>
      </w:r>
      <w:r w:rsidRPr="0062360B">
        <w:rPr>
          <w:rFonts w:cstheme="minorHAnsi"/>
          <w:color w:val="000000"/>
        </w:rPr>
        <w:t>The AcqDemo Program Office will publish a Pay Pool management advisory prior to each year’s CCAS closeout. There may be limitations set for CRI and CA budgets depending on DoD and OPM guidance.</w:t>
      </w:r>
    </w:p>
    <w:p w14:paraId="0F8086C7" w14:textId="77777777" w:rsidR="002E0331" w:rsidRDefault="002E0331" w:rsidP="0062360B">
      <w:pPr>
        <w:autoSpaceDE w:val="0"/>
        <w:autoSpaceDN w:val="0"/>
        <w:adjustRightInd w:val="0"/>
        <w:spacing w:after="0" w:line="240" w:lineRule="auto"/>
        <w:rPr>
          <w:rFonts w:cstheme="minorHAnsi"/>
          <w:color w:val="000000"/>
        </w:rPr>
      </w:pPr>
    </w:p>
    <w:p w14:paraId="068BE8ED" w14:textId="56B59777" w:rsidR="0062360B" w:rsidRDefault="0062360B" w:rsidP="0062360B">
      <w:pPr>
        <w:autoSpaceDE w:val="0"/>
        <w:autoSpaceDN w:val="0"/>
        <w:adjustRightInd w:val="0"/>
        <w:spacing w:after="0" w:line="240" w:lineRule="auto"/>
        <w:rPr>
          <w:rFonts w:cstheme="minorHAnsi"/>
          <w:color w:val="000000"/>
        </w:rPr>
      </w:pPr>
      <w:r w:rsidRPr="007F2203">
        <w:rPr>
          <w:rFonts w:cstheme="minorHAnsi"/>
          <w:color w:val="000000"/>
        </w:rPr>
        <w:t>The</w:t>
      </w:r>
      <w:r>
        <w:rPr>
          <w:rFonts w:cstheme="minorHAnsi"/>
          <w:color w:val="000000"/>
        </w:rPr>
        <w:t xml:space="preserve"> amount of money available for Contribution Rating Increase (CRI)</w:t>
      </w:r>
      <w:r w:rsidRPr="007F2203">
        <w:rPr>
          <w:rFonts w:cstheme="minorHAnsi"/>
          <w:color w:val="000000"/>
        </w:rPr>
        <w:t xml:space="preserve"> within a pay pool is determined by the money that would </w:t>
      </w:r>
      <w:r>
        <w:rPr>
          <w:rFonts w:cstheme="minorHAnsi"/>
          <w:color w:val="000000"/>
        </w:rPr>
        <w:t xml:space="preserve">traditionally </w:t>
      </w:r>
      <w:r w:rsidRPr="007F2203">
        <w:rPr>
          <w:rFonts w:cstheme="minorHAnsi"/>
          <w:color w:val="000000"/>
        </w:rPr>
        <w:t xml:space="preserve">have been available for quality and within-grade step increases, and career promotions. </w:t>
      </w:r>
      <w:r>
        <w:rPr>
          <w:rFonts w:cstheme="minorHAnsi"/>
          <w:color w:val="000000"/>
        </w:rPr>
        <w:t>Funds not distributed from the General Pay I</w:t>
      </w:r>
      <w:r w:rsidRPr="007F2203">
        <w:rPr>
          <w:rFonts w:cstheme="minorHAnsi"/>
          <w:color w:val="000000"/>
        </w:rPr>
        <w:t>ncrease</w:t>
      </w:r>
      <w:r>
        <w:rPr>
          <w:rFonts w:cstheme="minorHAnsi"/>
          <w:color w:val="000000"/>
        </w:rPr>
        <w:t xml:space="preserve"> (GPI)</w:t>
      </w:r>
      <w:r w:rsidRPr="007F2203">
        <w:rPr>
          <w:rFonts w:cstheme="minorHAnsi"/>
          <w:color w:val="000000"/>
        </w:rPr>
        <w:t xml:space="preserve"> may </w:t>
      </w:r>
      <w:r>
        <w:rPr>
          <w:rFonts w:cstheme="minorHAnsi"/>
          <w:color w:val="000000"/>
        </w:rPr>
        <w:t xml:space="preserve">also </w:t>
      </w:r>
      <w:r w:rsidRPr="007F2203">
        <w:rPr>
          <w:rFonts w:cstheme="minorHAnsi"/>
          <w:color w:val="000000"/>
        </w:rPr>
        <w:t xml:space="preserve">be transferred to the </w:t>
      </w:r>
      <w:r>
        <w:rPr>
          <w:rFonts w:cstheme="minorHAnsi"/>
          <w:color w:val="000000"/>
        </w:rPr>
        <w:t>CRI</w:t>
      </w:r>
      <w:r w:rsidRPr="007F2203">
        <w:rPr>
          <w:rFonts w:cstheme="minorHAnsi"/>
          <w:color w:val="000000"/>
        </w:rPr>
        <w:t xml:space="preserve"> pool of money. Additionally, the </w:t>
      </w:r>
      <w:r>
        <w:rPr>
          <w:rFonts w:cstheme="minorHAnsi"/>
          <w:color w:val="000000"/>
        </w:rPr>
        <w:t>CRI</w:t>
      </w:r>
      <w:r w:rsidRPr="007F2203">
        <w:rPr>
          <w:rFonts w:cstheme="minorHAnsi"/>
          <w:color w:val="000000"/>
        </w:rPr>
        <w:t xml:space="preserve"> pools may be used to augment the </w:t>
      </w:r>
      <w:r>
        <w:rPr>
          <w:rFonts w:cstheme="minorHAnsi"/>
          <w:color w:val="000000"/>
        </w:rPr>
        <w:t>Contribution Awards (CA)</w:t>
      </w:r>
      <w:r w:rsidRPr="007F2203">
        <w:rPr>
          <w:rFonts w:cstheme="minorHAnsi"/>
          <w:color w:val="000000"/>
        </w:rPr>
        <w:t xml:space="preserve"> pool. However, the awards money portion cannot be</w:t>
      </w:r>
      <w:r>
        <w:rPr>
          <w:rFonts w:cstheme="minorHAnsi"/>
          <w:color w:val="000000"/>
        </w:rPr>
        <w:t xml:space="preserve"> used for increments to base pay.</w:t>
      </w:r>
    </w:p>
    <w:p w14:paraId="40738E42" w14:textId="77777777" w:rsidR="0062360B" w:rsidRDefault="0062360B" w:rsidP="0062360B">
      <w:pPr>
        <w:autoSpaceDE w:val="0"/>
        <w:autoSpaceDN w:val="0"/>
        <w:adjustRightInd w:val="0"/>
        <w:spacing w:after="0" w:line="240" w:lineRule="auto"/>
        <w:rPr>
          <w:rFonts w:cstheme="minorHAnsi"/>
          <w:color w:val="000000"/>
        </w:rPr>
      </w:pPr>
    </w:p>
    <w:p w14:paraId="2C2562BA" w14:textId="3BF783A0" w:rsidR="0062360B" w:rsidRDefault="0062360B" w:rsidP="0062360B">
      <w:pPr>
        <w:autoSpaceDE w:val="0"/>
        <w:autoSpaceDN w:val="0"/>
        <w:adjustRightInd w:val="0"/>
        <w:spacing w:after="0" w:line="240" w:lineRule="auto"/>
        <w:rPr>
          <w:rFonts w:cstheme="minorHAnsi"/>
          <w:color w:val="000000"/>
        </w:rPr>
      </w:pPr>
      <w:r w:rsidRPr="007F2203">
        <w:rPr>
          <w:rFonts w:cstheme="minorHAnsi"/>
          <w:color w:val="000000"/>
        </w:rPr>
        <w:t xml:space="preserve">The </w:t>
      </w:r>
      <w:r>
        <w:rPr>
          <w:rFonts w:cstheme="minorHAnsi"/>
          <w:color w:val="000000"/>
        </w:rPr>
        <w:t>CRI</w:t>
      </w:r>
      <w:r w:rsidRPr="007F2203">
        <w:rPr>
          <w:rFonts w:cstheme="minorHAnsi"/>
          <w:color w:val="000000"/>
        </w:rPr>
        <w:t xml:space="preserve"> pool of money will be set at no less than 2% of the activity’s total </w:t>
      </w:r>
      <w:r>
        <w:rPr>
          <w:rFonts w:cstheme="minorHAnsi"/>
          <w:color w:val="000000"/>
        </w:rPr>
        <w:t>base pay budget</w:t>
      </w:r>
      <w:r w:rsidRPr="007F2203">
        <w:rPr>
          <w:rFonts w:cstheme="minorHAnsi"/>
          <w:color w:val="000000"/>
        </w:rPr>
        <w:t>. These floors represent a budgetary minimum amount. Components may set higher amounts within their budgetary limits. No ceiling amount is directed</w:t>
      </w:r>
      <w:r>
        <w:rPr>
          <w:rFonts w:cstheme="minorHAnsi"/>
          <w:color w:val="000000"/>
        </w:rPr>
        <w:t xml:space="preserve"> by the Operating </w:t>
      </w:r>
      <w:r w:rsidR="002E0331">
        <w:rPr>
          <w:rFonts w:cstheme="minorHAnsi"/>
          <w:color w:val="000000"/>
        </w:rPr>
        <w:t>Guide</w:t>
      </w:r>
      <w:r>
        <w:rPr>
          <w:rFonts w:cstheme="minorHAnsi"/>
          <w:color w:val="000000"/>
        </w:rPr>
        <w:t>.</w:t>
      </w:r>
    </w:p>
    <w:p w14:paraId="314950DD" w14:textId="77777777" w:rsidR="0062360B" w:rsidRPr="007F2203" w:rsidRDefault="0062360B" w:rsidP="0062360B">
      <w:pPr>
        <w:autoSpaceDE w:val="0"/>
        <w:autoSpaceDN w:val="0"/>
        <w:adjustRightInd w:val="0"/>
        <w:spacing w:after="0" w:line="240" w:lineRule="auto"/>
        <w:rPr>
          <w:rFonts w:cstheme="minorHAnsi"/>
          <w:color w:val="000000"/>
        </w:rPr>
      </w:pPr>
    </w:p>
    <w:p w14:paraId="64AFF936" w14:textId="77777777" w:rsidR="0062360B" w:rsidRDefault="0062360B" w:rsidP="0062360B">
      <w:pPr>
        <w:autoSpaceDE w:val="0"/>
        <w:autoSpaceDN w:val="0"/>
        <w:adjustRightInd w:val="0"/>
        <w:spacing w:after="0" w:line="240" w:lineRule="auto"/>
        <w:rPr>
          <w:rFonts w:cstheme="minorHAnsi"/>
          <w:color w:val="000000"/>
        </w:rPr>
      </w:pPr>
      <w:r w:rsidRPr="007F2203">
        <w:rPr>
          <w:rFonts w:cstheme="minorHAnsi"/>
          <w:color w:val="000000"/>
        </w:rPr>
        <w:t xml:space="preserve">The </w:t>
      </w:r>
      <w:r>
        <w:rPr>
          <w:rFonts w:cstheme="minorHAnsi"/>
          <w:color w:val="000000"/>
        </w:rPr>
        <w:t>CA</w:t>
      </w:r>
      <w:r w:rsidRPr="007F2203">
        <w:rPr>
          <w:rFonts w:cstheme="minorHAnsi"/>
          <w:color w:val="000000"/>
        </w:rPr>
        <w:t xml:space="preserve"> pool includes what were formerly </w:t>
      </w:r>
      <w:r>
        <w:rPr>
          <w:rFonts w:cstheme="minorHAnsi"/>
          <w:color w:val="000000"/>
        </w:rPr>
        <w:t xml:space="preserve">known as </w:t>
      </w:r>
      <w:r w:rsidRPr="007F2203">
        <w:rPr>
          <w:rFonts w:cstheme="minorHAnsi"/>
          <w:color w:val="000000"/>
        </w:rPr>
        <w:t xml:space="preserve">performance </w:t>
      </w:r>
      <w:r>
        <w:rPr>
          <w:rFonts w:cstheme="minorHAnsi"/>
          <w:color w:val="000000"/>
        </w:rPr>
        <w:t xml:space="preserve">or bonus </w:t>
      </w:r>
      <w:r w:rsidRPr="007F2203">
        <w:rPr>
          <w:rFonts w:cstheme="minorHAnsi"/>
          <w:color w:val="000000"/>
        </w:rPr>
        <w:t xml:space="preserve">awards. This pool will be used for awards given under the CCAS process. The fund will </w:t>
      </w:r>
      <w:r>
        <w:rPr>
          <w:rFonts w:cstheme="minorHAnsi"/>
          <w:color w:val="000000"/>
        </w:rPr>
        <w:t>be set at no less than 1</w:t>
      </w:r>
      <w:r w:rsidRPr="007F2203">
        <w:rPr>
          <w:rFonts w:cstheme="minorHAnsi"/>
          <w:color w:val="000000"/>
        </w:rPr>
        <w:t xml:space="preserve">% of the activity’s total </w:t>
      </w:r>
      <w:r>
        <w:rPr>
          <w:rFonts w:cstheme="minorHAnsi"/>
          <w:color w:val="000000"/>
        </w:rPr>
        <w:t>awards</w:t>
      </w:r>
      <w:r w:rsidRPr="007F2203">
        <w:rPr>
          <w:rFonts w:cstheme="minorHAnsi"/>
          <w:color w:val="000000"/>
        </w:rPr>
        <w:t xml:space="preserve"> budget. Th</w:t>
      </w:r>
      <w:r>
        <w:rPr>
          <w:rFonts w:cstheme="minorHAnsi"/>
          <w:color w:val="000000"/>
        </w:rPr>
        <w:t>e</w:t>
      </w:r>
      <w:r w:rsidRPr="007F2203">
        <w:rPr>
          <w:rFonts w:cstheme="minorHAnsi"/>
          <w:color w:val="000000"/>
        </w:rPr>
        <w:t xml:space="preserve"> </w:t>
      </w:r>
      <w:r>
        <w:rPr>
          <w:rFonts w:cstheme="minorHAnsi"/>
          <w:color w:val="000000"/>
        </w:rPr>
        <w:t xml:space="preserve">amount for the CA </w:t>
      </w:r>
      <w:r w:rsidRPr="007F2203">
        <w:rPr>
          <w:rFonts w:cstheme="minorHAnsi"/>
          <w:color w:val="000000"/>
        </w:rPr>
        <w:t>will not exceed 90</w:t>
      </w:r>
      <w:r>
        <w:rPr>
          <w:rFonts w:cstheme="minorHAnsi"/>
          <w:color w:val="000000"/>
        </w:rPr>
        <w:t>%</w:t>
      </w:r>
      <w:r w:rsidRPr="007F2203">
        <w:rPr>
          <w:rFonts w:cstheme="minorHAnsi"/>
          <w:color w:val="000000"/>
        </w:rPr>
        <w:t xml:space="preserve"> of the </w:t>
      </w:r>
      <w:r>
        <w:rPr>
          <w:rFonts w:cstheme="minorHAnsi"/>
          <w:color w:val="000000"/>
        </w:rPr>
        <w:t>1% for the total awards budget</w:t>
      </w:r>
      <w:r w:rsidRPr="007F2203">
        <w:rPr>
          <w:rFonts w:cstheme="minorHAnsi"/>
          <w:color w:val="000000"/>
        </w:rPr>
        <w:t>, so as to allow for other awards not relate</w:t>
      </w:r>
      <w:r>
        <w:rPr>
          <w:rFonts w:cstheme="minorHAnsi"/>
          <w:color w:val="000000"/>
        </w:rPr>
        <w:t>d to the CCAS process, e.g., on-the-</w:t>
      </w:r>
      <w:r w:rsidRPr="007F2203">
        <w:rPr>
          <w:rFonts w:cstheme="minorHAnsi"/>
          <w:color w:val="000000"/>
        </w:rPr>
        <w:t xml:space="preserve">spot awards and group awards. </w:t>
      </w:r>
    </w:p>
    <w:p w14:paraId="4DF87F08" w14:textId="77777777" w:rsidR="0062360B" w:rsidRPr="007F2203" w:rsidRDefault="0062360B" w:rsidP="0062360B">
      <w:pPr>
        <w:autoSpaceDE w:val="0"/>
        <w:autoSpaceDN w:val="0"/>
        <w:adjustRightInd w:val="0"/>
        <w:spacing w:after="0" w:line="240" w:lineRule="auto"/>
        <w:rPr>
          <w:rFonts w:cstheme="minorHAnsi"/>
          <w:color w:val="000000"/>
        </w:rPr>
      </w:pPr>
    </w:p>
    <w:p w14:paraId="512E3DC2" w14:textId="77777777" w:rsidR="0062360B" w:rsidRPr="00727B11" w:rsidRDefault="0062360B" w:rsidP="0062360B">
      <w:pPr>
        <w:autoSpaceDE w:val="0"/>
        <w:autoSpaceDN w:val="0"/>
        <w:adjustRightInd w:val="0"/>
        <w:spacing w:after="0" w:line="240" w:lineRule="auto"/>
        <w:rPr>
          <w:rFonts w:cstheme="minorHAnsi"/>
          <w:b/>
          <w:bCs/>
          <w:color w:val="000000"/>
        </w:rPr>
      </w:pPr>
      <w:r w:rsidRPr="007F2203">
        <w:t>The dollar amount</w:t>
      </w:r>
      <w:r>
        <w:t>s</w:t>
      </w:r>
      <w:r w:rsidRPr="007F2203">
        <w:t xml:space="preserve"> to be included in the pay pool will be computed based on the </w:t>
      </w:r>
      <w:r>
        <w:t xml:space="preserve">salaries of the </w:t>
      </w:r>
      <w:r w:rsidRPr="007F2203">
        <w:t xml:space="preserve">employees in the pay pool as of </w:t>
      </w:r>
      <w:r>
        <w:t xml:space="preserve">30 </w:t>
      </w:r>
      <w:r w:rsidRPr="007F2203">
        <w:t>September each year.</w:t>
      </w:r>
    </w:p>
    <w:p w14:paraId="5A10B61C" w14:textId="4E2733E7" w:rsidR="0062360B" w:rsidRDefault="0062360B" w:rsidP="0062360B">
      <w:pPr>
        <w:rPr>
          <w:rFonts w:asciiTheme="majorHAnsi" w:eastAsiaTheme="majorEastAsia" w:hAnsiTheme="majorHAnsi" w:cstheme="majorBidi"/>
          <w:b/>
          <w:bCs/>
          <w:color w:val="365F91" w:themeColor="accent1" w:themeShade="BF"/>
          <w:sz w:val="28"/>
          <w:szCs w:val="28"/>
        </w:rPr>
      </w:pPr>
    </w:p>
    <w:p w14:paraId="602459CC" w14:textId="77777777" w:rsidR="0062360B" w:rsidRDefault="0062360B">
      <w:pPr>
        <w:rPr>
          <w:rFonts w:asciiTheme="majorHAnsi" w:eastAsiaTheme="majorEastAsia" w:hAnsiTheme="majorHAnsi" w:cstheme="majorBidi"/>
          <w:b/>
          <w:bCs/>
          <w:color w:val="365F91" w:themeColor="accent1" w:themeShade="BF"/>
          <w:sz w:val="28"/>
          <w:szCs w:val="28"/>
        </w:rPr>
      </w:pPr>
      <w:r>
        <w:br w:type="page"/>
      </w:r>
    </w:p>
    <w:p w14:paraId="3ECB4DCA" w14:textId="6AD0121E" w:rsidR="002E0331" w:rsidRDefault="002E0331" w:rsidP="002E0331">
      <w:pPr>
        <w:pStyle w:val="Heading2"/>
      </w:pPr>
      <w:bookmarkStart w:id="34" w:name="_Toc510512491"/>
      <w:r>
        <w:lastRenderedPageBreak/>
        <w:t>Discretionary Set-Aside</w:t>
      </w:r>
      <w:bookmarkEnd w:id="34"/>
    </w:p>
    <w:p w14:paraId="6E3F269C" w14:textId="77777777" w:rsidR="002E0331" w:rsidRDefault="002E0331" w:rsidP="002E0331">
      <w:pPr>
        <w:jc w:val="center"/>
      </w:pPr>
      <w:r w:rsidRPr="002E0331">
        <w:rPr>
          <w:noProof/>
        </w:rPr>
        <w:drawing>
          <wp:inline distT="0" distB="0" distL="0" distR="0" wp14:anchorId="7C240BC1" wp14:editId="0DE3D66A">
            <wp:extent cx="4572396" cy="3429297"/>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396" cy="3429297"/>
                    </a:xfrm>
                    <a:prstGeom prst="rect">
                      <a:avLst/>
                    </a:prstGeom>
                  </pic:spPr>
                </pic:pic>
              </a:graphicData>
            </a:graphic>
          </wp:inline>
        </w:drawing>
      </w:r>
    </w:p>
    <w:p w14:paraId="7A14A08A" w14:textId="77777777" w:rsidR="002E0331" w:rsidRPr="002E0331" w:rsidRDefault="002E0331" w:rsidP="002E0331">
      <w:r w:rsidRPr="002E0331">
        <w:t xml:space="preserve">If this option is authorized, it should be noted the amount withheld from the pay pool funds will reduce the overall budget and, therefore, total payouts to all pay pool members. </w:t>
      </w:r>
    </w:p>
    <w:p w14:paraId="045FD0D0" w14:textId="71853CB9" w:rsidR="002E0331" w:rsidRPr="002E0331" w:rsidRDefault="002E0331" w:rsidP="002E0331">
      <w:r w:rsidRPr="002E0331">
        <w:t xml:space="preserve">It is recommended the </w:t>
      </w:r>
      <w:r>
        <w:t>pay pool spreadsheet (</w:t>
      </w:r>
      <w:r w:rsidRPr="002E0331">
        <w:t>CMS</w:t>
      </w:r>
      <w:r>
        <w:t>)</w:t>
      </w:r>
      <w:r w:rsidRPr="002E0331">
        <w:t xml:space="preserve"> be allowed to run its algorithms so the results of the ratings can be reviewed first. If certain situations warrant the use of additional (or modified) CRI/CA dollar amounts, then it may be useful to exercise this discretionary set-aside option provided equity in the recognition of contributions is maintained and the distribution of discretionary amounts maintains the integrity of the organization’s compensation strategy and position management structure.</w:t>
      </w:r>
    </w:p>
    <w:p w14:paraId="6F731B90" w14:textId="4B53F086" w:rsidR="002E0331" w:rsidRDefault="002E0331" w:rsidP="002E0331">
      <w:pPr>
        <w:rPr>
          <w:rFonts w:asciiTheme="majorHAnsi" w:eastAsiaTheme="majorEastAsia" w:hAnsiTheme="majorHAnsi" w:cstheme="majorBidi"/>
          <w:b/>
          <w:bCs/>
          <w:color w:val="4F81BD" w:themeColor="accent1"/>
          <w:sz w:val="26"/>
          <w:szCs w:val="26"/>
        </w:rPr>
      </w:pPr>
      <w:r>
        <w:br w:type="page"/>
      </w:r>
    </w:p>
    <w:p w14:paraId="61E7183C" w14:textId="091E6E1E" w:rsidR="0016681B" w:rsidRDefault="0016681B" w:rsidP="0016681B">
      <w:pPr>
        <w:pStyle w:val="Heading2"/>
      </w:pPr>
      <w:bookmarkStart w:id="35" w:name="_Toc510512492"/>
      <w:r>
        <w:lastRenderedPageBreak/>
        <w:t>CCAS Reward Payout Criteria</w:t>
      </w:r>
      <w:bookmarkEnd w:id="35"/>
    </w:p>
    <w:p w14:paraId="79998DE9" w14:textId="62A1F815" w:rsidR="0016681B" w:rsidRDefault="002E0331" w:rsidP="0016681B">
      <w:pPr>
        <w:spacing w:line="360" w:lineRule="auto"/>
        <w:jc w:val="center"/>
      </w:pPr>
      <w:r w:rsidRPr="002E0331">
        <w:rPr>
          <w:noProof/>
        </w:rPr>
        <w:drawing>
          <wp:inline distT="0" distB="0" distL="0" distR="0" wp14:anchorId="7AB7313D" wp14:editId="60E8FBC7">
            <wp:extent cx="4572396" cy="3429297"/>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pic:spPr>
                </pic:pic>
              </a:graphicData>
            </a:graphic>
          </wp:inline>
        </w:drawing>
      </w:r>
    </w:p>
    <w:p w14:paraId="12E614DD" w14:textId="20F00AFF" w:rsidR="0016681B" w:rsidRDefault="0016681B" w:rsidP="0016681B">
      <w:pPr>
        <w:pStyle w:val="NoSpacing"/>
        <w:rPr>
          <w:kern w:val="24"/>
        </w:rPr>
      </w:pPr>
      <w:r>
        <w:rPr>
          <w:kern w:val="24"/>
        </w:rPr>
        <w:t xml:space="preserve">Plotting an employee’s final OCS and current pay on a graph that includes the standard pay line, with upper and lower rails, locates his or her data point into one of three zones, </w:t>
      </w:r>
      <w:r w:rsidR="002E0331">
        <w:rPr>
          <w:kern w:val="24"/>
        </w:rPr>
        <w:t>Overcompensated, Normal, or Undercompensated</w:t>
      </w:r>
      <w:r>
        <w:rPr>
          <w:kern w:val="24"/>
        </w:rPr>
        <w:t xml:space="preserve">. </w:t>
      </w:r>
    </w:p>
    <w:p w14:paraId="33E2A98F" w14:textId="3F1EBFDB" w:rsidR="002E0331" w:rsidRDefault="002E0331" w:rsidP="0016681B">
      <w:pPr>
        <w:pStyle w:val="NoSpacing"/>
        <w:rPr>
          <w:kern w:val="24"/>
        </w:rPr>
      </w:pPr>
    </w:p>
    <w:p w14:paraId="19B2FD64" w14:textId="180A045E" w:rsidR="002E0331" w:rsidRDefault="002E0331" w:rsidP="0016681B">
      <w:pPr>
        <w:pStyle w:val="NoSpacing"/>
        <w:rPr>
          <w:kern w:val="24"/>
        </w:rPr>
      </w:pPr>
      <w:r>
        <w:rPr>
          <w:kern w:val="24"/>
        </w:rPr>
        <w:t xml:space="preserve">Note that </w:t>
      </w:r>
      <w:r w:rsidRPr="002E0331">
        <w:rPr>
          <w:kern w:val="24"/>
        </w:rPr>
        <w:t>Any GPI withheld or denied will roll over into the CRI fund and be redistributed to other members of the pay pool.</w:t>
      </w:r>
    </w:p>
    <w:p w14:paraId="1FBB2772" w14:textId="77777777" w:rsidR="0016681B" w:rsidRDefault="0016681B" w:rsidP="0016681B">
      <w:pPr>
        <w:pStyle w:val="NoSpacing"/>
        <w:rPr>
          <w:kern w:val="24"/>
        </w:rPr>
      </w:pPr>
    </w:p>
    <w:p w14:paraId="70623308" w14:textId="4249773B" w:rsidR="005765D4" w:rsidRDefault="002E0331" w:rsidP="007F2203">
      <w:pPr>
        <w:pStyle w:val="Heading2"/>
      </w:pPr>
      <w:bookmarkStart w:id="36" w:name="_Toc510512493"/>
      <w:r>
        <w:lastRenderedPageBreak/>
        <w:t>Selecting Target Pay</w:t>
      </w:r>
      <w:bookmarkEnd w:id="36"/>
    </w:p>
    <w:p w14:paraId="53506425" w14:textId="1E712732" w:rsidR="00657E3D" w:rsidRDefault="002E0331" w:rsidP="00B00953">
      <w:pPr>
        <w:spacing w:line="360" w:lineRule="auto"/>
        <w:jc w:val="center"/>
      </w:pPr>
      <w:r w:rsidRPr="002E0331">
        <w:rPr>
          <w:noProof/>
        </w:rPr>
        <w:drawing>
          <wp:inline distT="0" distB="0" distL="0" distR="0" wp14:anchorId="3739AD38" wp14:editId="0839EAC5">
            <wp:extent cx="4065373" cy="304903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72079" cy="3054060"/>
                    </a:xfrm>
                    <a:prstGeom prst="rect">
                      <a:avLst/>
                    </a:prstGeom>
                  </pic:spPr>
                </pic:pic>
              </a:graphicData>
            </a:graphic>
          </wp:inline>
        </w:drawing>
      </w:r>
    </w:p>
    <w:p w14:paraId="75F965C7" w14:textId="41CF9FB7" w:rsidR="002E0331" w:rsidRDefault="002E0331" w:rsidP="00B00953">
      <w:pPr>
        <w:spacing w:line="360" w:lineRule="auto"/>
        <w:jc w:val="center"/>
      </w:pPr>
      <w:r w:rsidRPr="002E0331">
        <w:rPr>
          <w:noProof/>
        </w:rPr>
        <w:drawing>
          <wp:inline distT="0" distB="0" distL="0" distR="0" wp14:anchorId="5FA70D7C" wp14:editId="671C9D00">
            <wp:extent cx="4065373" cy="304903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74825" cy="3056119"/>
                    </a:xfrm>
                    <a:prstGeom prst="rect">
                      <a:avLst/>
                    </a:prstGeom>
                  </pic:spPr>
                </pic:pic>
              </a:graphicData>
            </a:graphic>
          </wp:inline>
        </w:drawing>
      </w:r>
    </w:p>
    <w:p w14:paraId="552F01E7" w14:textId="5A4ACB41" w:rsidR="002E0331" w:rsidRDefault="002E0331" w:rsidP="002E0331">
      <w:r w:rsidRPr="002E0331">
        <w:t xml:space="preserve">This strategy is </w:t>
      </w:r>
      <w:r>
        <w:t xml:space="preserve">rarely used, but </w:t>
      </w:r>
      <w:r w:rsidRPr="002E0331">
        <w:t xml:space="preserve">effective if most employees are in the Undercompensated </w:t>
      </w:r>
      <w:r w:rsidR="007134CE">
        <w:t>r</w:t>
      </w:r>
      <w:r w:rsidRPr="002E0331">
        <w:t>egion and the compensation strategy is to bring all undercompensated employees into the Normal Pay Range faster in order to achieve pay equity across the pay pool population. Distributing CRI only to undercompensated employees allows larger pay increases to those in the undercompensated region while not increasing any other employee salaries.</w:t>
      </w:r>
    </w:p>
    <w:p w14:paraId="4E1EB8C2" w14:textId="02647327" w:rsidR="005765D4" w:rsidRDefault="005765D4" w:rsidP="005765D4">
      <w:pPr>
        <w:pStyle w:val="NoSpacing"/>
        <w:jc w:val="center"/>
        <w:rPr>
          <w:kern w:val="24"/>
        </w:rPr>
      </w:pPr>
    </w:p>
    <w:p w14:paraId="0BA2C8BD" w14:textId="77777777" w:rsidR="00CA7FBE" w:rsidRPr="00CA7FBE" w:rsidRDefault="005765D4">
      <w:pPr>
        <w:rPr>
          <w:kern w:val="24"/>
        </w:rPr>
      </w:pPr>
      <w:r>
        <w:rPr>
          <w:kern w:val="24"/>
        </w:rPr>
        <w:br w:type="page"/>
      </w:r>
    </w:p>
    <w:p w14:paraId="1B39E506" w14:textId="6504EB16" w:rsidR="005765D4" w:rsidRDefault="007134CE" w:rsidP="005765D4">
      <w:pPr>
        <w:spacing w:line="360" w:lineRule="auto"/>
        <w:jc w:val="center"/>
      </w:pPr>
      <w:r w:rsidRPr="007134CE">
        <w:rPr>
          <w:noProof/>
        </w:rPr>
        <w:lastRenderedPageBreak/>
        <w:drawing>
          <wp:inline distT="0" distB="0" distL="0" distR="0" wp14:anchorId="0E26C4D2" wp14:editId="0059652A">
            <wp:extent cx="4572396" cy="3429297"/>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pic:spPr>
                </pic:pic>
              </a:graphicData>
            </a:graphic>
          </wp:inline>
        </w:drawing>
      </w:r>
    </w:p>
    <w:p w14:paraId="702869D0" w14:textId="2EBE47E6" w:rsidR="007134CE" w:rsidRDefault="007134CE" w:rsidP="007134CE">
      <w:r>
        <w:t xml:space="preserve">This is the most commonly used option for setting the CRI target.  </w:t>
      </w:r>
      <w:r w:rsidRPr="007134CE">
        <w:t xml:space="preserve">Target pay set at the Standard Pay Line increases basic pay for all those employees whose pay and OCS places them in the Normal Pay Range below the Standard Pay Line and in the Undercompensated Region. </w:t>
      </w:r>
    </w:p>
    <w:p w14:paraId="7C92A2EA" w14:textId="46957EA5" w:rsidR="007134CE" w:rsidRPr="007134CE" w:rsidRDefault="007134CE" w:rsidP="007134CE">
      <w:r w:rsidRPr="007134CE">
        <w:t>If the Standard Pay Line is also set for CA, only employees plotting below the standard pay line will be eligible for CA as well. Employees whose basic pay and OCS places them in the Normal Pay Range above the Standard Pay Line but below the upper will not be eligible to receive CRI even though their pay is technically considered “appropriate” compensation.</w:t>
      </w:r>
    </w:p>
    <w:p w14:paraId="2811E124" w14:textId="77777777" w:rsidR="007134CE" w:rsidRDefault="007134CE" w:rsidP="007134CE">
      <w:r w:rsidRPr="007134CE">
        <w:t xml:space="preserve">This strategy will result in smaller CRI increases for those who plot below the Standard Pay Line than the increases to those below the lower rail when the target pay is set at the lower rail. This population will be larger than the population at or below the lower rail and, thus, payouts will be more modest in order to move more of the employee population closer to or within the Normal Pay Range (but below the Standard Pay Line). </w:t>
      </w:r>
    </w:p>
    <w:p w14:paraId="2C0ED05C" w14:textId="77777777" w:rsidR="007134CE" w:rsidRDefault="007134CE" w:rsidP="007134CE">
      <w:r w:rsidRPr="007134CE">
        <w:t xml:space="preserve">Employees in the Undercompensated Region will still receive larger CRI amounts than those closer to the Standard Pay Line but smaller than their CRIs when the lower rail is used as the target pay. </w:t>
      </w:r>
    </w:p>
    <w:p w14:paraId="2080EF69" w14:textId="50F6EDD4" w:rsidR="007134CE" w:rsidRPr="007134CE" w:rsidRDefault="007134CE" w:rsidP="007134CE">
      <w:r w:rsidRPr="007134CE">
        <w:t xml:space="preserve">This strategy also prevents basic pay increases to those employees within the Normal Pay Range but above the Standard Pay Line (i.e., appropriately compensated). If CRI carryover is allowed, these employees will receive what would be a basic pay increase as part of their lump sum contribution award (CA). </w:t>
      </w:r>
    </w:p>
    <w:p w14:paraId="08BB8D9A" w14:textId="77777777" w:rsidR="007134CE" w:rsidRDefault="007134CE" w:rsidP="007134CE">
      <w:pPr>
        <w:spacing w:line="360" w:lineRule="auto"/>
      </w:pPr>
    </w:p>
    <w:p w14:paraId="11B19745" w14:textId="50A21A91" w:rsidR="007134CE" w:rsidRDefault="007134CE" w:rsidP="007134CE">
      <w:pPr>
        <w:jc w:val="center"/>
      </w:pPr>
      <w:r>
        <w:br w:type="page"/>
      </w:r>
      <w:r w:rsidRPr="007134CE">
        <w:rPr>
          <w:noProof/>
        </w:rPr>
        <w:lastRenderedPageBreak/>
        <w:drawing>
          <wp:inline distT="0" distB="0" distL="0" distR="0" wp14:anchorId="636A9919" wp14:editId="0B8035F1">
            <wp:extent cx="4572396" cy="3429297"/>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396" cy="3429297"/>
                    </a:xfrm>
                    <a:prstGeom prst="rect">
                      <a:avLst/>
                    </a:prstGeom>
                  </pic:spPr>
                </pic:pic>
              </a:graphicData>
            </a:graphic>
          </wp:inline>
        </w:drawing>
      </w:r>
    </w:p>
    <w:p w14:paraId="1E12CC41" w14:textId="055A9D7C" w:rsidR="007134CE" w:rsidRDefault="007134CE" w:rsidP="007134CE">
      <w:r w:rsidRPr="007134CE">
        <w:t xml:space="preserve">Target pay set at the upper rail allows pay increases to all employees in the Normal Pay Range and Undercompensated Region. This strategy results in salary increases to all employees in these two regions. It is effective for ensuring fairness to all </w:t>
      </w:r>
      <w:r w:rsidRPr="007134CE">
        <w:rPr>
          <w:i/>
          <w:iCs/>
        </w:rPr>
        <w:t>BUT</w:t>
      </w:r>
      <w:r w:rsidRPr="007134CE">
        <w:t xml:space="preserve"> requires a solid compensation strategy and established position management structure to maintain equity; otherwise all employee salaries will float to the top of their broadbands creating pay compression and little room for advancement and growth.</w:t>
      </w:r>
    </w:p>
    <w:p w14:paraId="00586083" w14:textId="42FF9E1C" w:rsidR="007134CE" w:rsidRPr="007134CE" w:rsidRDefault="007134CE" w:rsidP="007134CE">
      <w:r>
        <w:t>This is often used for setting the CA target rail.</w:t>
      </w:r>
    </w:p>
    <w:p w14:paraId="75E21978" w14:textId="77777777" w:rsidR="007134CE" w:rsidRDefault="007134CE" w:rsidP="007134CE">
      <w:pPr>
        <w:rPr>
          <w:rFonts w:asciiTheme="majorHAnsi" w:eastAsiaTheme="majorEastAsia" w:hAnsiTheme="majorHAnsi" w:cstheme="majorBidi"/>
          <w:b/>
          <w:bCs/>
          <w:color w:val="4F81BD" w:themeColor="accent1"/>
          <w:sz w:val="26"/>
          <w:szCs w:val="26"/>
        </w:rPr>
      </w:pPr>
    </w:p>
    <w:p w14:paraId="1A1416E7" w14:textId="46EA5F4F" w:rsidR="007F464B" w:rsidRDefault="00060149" w:rsidP="007F464B">
      <w:pPr>
        <w:pStyle w:val="Heading2"/>
      </w:pPr>
      <w:bookmarkStart w:id="37" w:name="_Toc510512494"/>
      <w:r>
        <w:lastRenderedPageBreak/>
        <w:t>CRI Carryover</w:t>
      </w:r>
      <w:bookmarkEnd w:id="37"/>
    </w:p>
    <w:p w14:paraId="0FBF6520" w14:textId="5AA4E2C2" w:rsidR="007F464B" w:rsidRDefault="00060149" w:rsidP="007F464B">
      <w:pPr>
        <w:spacing w:line="360" w:lineRule="auto"/>
        <w:jc w:val="center"/>
      </w:pPr>
      <w:r w:rsidRPr="00060149">
        <w:rPr>
          <w:noProof/>
        </w:rPr>
        <w:drawing>
          <wp:inline distT="0" distB="0" distL="0" distR="0" wp14:anchorId="4D33BA13" wp14:editId="547654ED">
            <wp:extent cx="4572396" cy="3429297"/>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396" cy="3429297"/>
                    </a:xfrm>
                    <a:prstGeom prst="rect">
                      <a:avLst/>
                    </a:prstGeom>
                  </pic:spPr>
                </pic:pic>
              </a:graphicData>
            </a:graphic>
          </wp:inline>
        </w:drawing>
      </w:r>
    </w:p>
    <w:p w14:paraId="0F9E58F7" w14:textId="68FDABBD" w:rsidR="00060149" w:rsidRPr="00060149" w:rsidRDefault="00060149" w:rsidP="00060149">
      <w:r w:rsidRPr="00060149">
        <w:t xml:space="preserve">Depending on the category into which an employee’s marker falls, he/she may be eligible for one to three forms of additional compensation. The pay pool panel has the option of awarding the employee up to and including the full General Pay Increase (as authorized by law or the President), a CRI (an increase in basic pay and/or a </w:t>
      </w:r>
      <w:r w:rsidRPr="00060149">
        <w:rPr>
          <w:b/>
          <w:bCs/>
          <w:i/>
          <w:iCs/>
        </w:rPr>
        <w:t>CRI carryover lump sum payment for the CRI basic pay amount that exceeds a control point in or the maximum basic pay of an employee’s broadband level</w:t>
      </w:r>
      <w:r w:rsidRPr="00060149">
        <w:t>) and/or a contribution award (a  lump-sum payment that does not affect basic pay)</w:t>
      </w:r>
      <w:r>
        <w:t>.</w:t>
      </w:r>
    </w:p>
    <w:p w14:paraId="029C2471" w14:textId="77777777" w:rsidR="00060149" w:rsidRDefault="00060149" w:rsidP="00060149">
      <w:pPr>
        <w:spacing w:line="360" w:lineRule="auto"/>
      </w:pPr>
    </w:p>
    <w:p w14:paraId="3981B7FA" w14:textId="008AAA91" w:rsidR="006800F9" w:rsidRDefault="006800F9" w:rsidP="006800F9">
      <w:pPr>
        <w:jc w:val="center"/>
      </w:pPr>
    </w:p>
    <w:p w14:paraId="1A919E65" w14:textId="78B754F8" w:rsidR="00994B83" w:rsidRDefault="00994B83" w:rsidP="00262F1C">
      <w:pPr>
        <w:jc w:val="center"/>
      </w:pPr>
    </w:p>
    <w:p w14:paraId="56762937" w14:textId="2C43A408" w:rsidR="00994B83" w:rsidRDefault="00994B83" w:rsidP="002F2F01">
      <w:pPr>
        <w:jc w:val="center"/>
        <w:rPr>
          <w:sz w:val="26"/>
          <w:szCs w:val="26"/>
        </w:rPr>
      </w:pPr>
      <w:r>
        <w:br w:type="page"/>
      </w:r>
    </w:p>
    <w:p w14:paraId="0E17FA80" w14:textId="750CB43B" w:rsidR="008A4940" w:rsidRDefault="00060149" w:rsidP="00860AD6">
      <w:pPr>
        <w:pStyle w:val="Heading3"/>
      </w:pPr>
      <w:bookmarkStart w:id="38" w:name="_Toc510512495"/>
      <w:r>
        <w:lastRenderedPageBreak/>
        <w:t>Pay Pool Funding Business Rules Considerations</w:t>
      </w:r>
      <w:bookmarkEnd w:id="38"/>
    </w:p>
    <w:p w14:paraId="7C784525" w14:textId="21ED69EA" w:rsidR="007F464B" w:rsidRDefault="00060149" w:rsidP="00262F1C">
      <w:pPr>
        <w:spacing w:line="360" w:lineRule="auto"/>
        <w:jc w:val="center"/>
      </w:pPr>
      <w:r w:rsidRPr="00060149">
        <w:rPr>
          <w:noProof/>
        </w:rPr>
        <w:drawing>
          <wp:inline distT="0" distB="0" distL="0" distR="0" wp14:anchorId="4863DC76" wp14:editId="3A0D75FB">
            <wp:extent cx="4572396" cy="3429297"/>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396" cy="3429297"/>
                    </a:xfrm>
                    <a:prstGeom prst="rect">
                      <a:avLst/>
                    </a:prstGeom>
                  </pic:spPr>
                </pic:pic>
              </a:graphicData>
            </a:graphic>
          </wp:inline>
        </w:drawing>
      </w:r>
    </w:p>
    <w:p w14:paraId="10DAAE58" w14:textId="77777777" w:rsidR="00060149" w:rsidRDefault="00060149" w:rsidP="00060149">
      <w:pPr>
        <w:spacing w:line="360" w:lineRule="auto"/>
      </w:pPr>
      <w:r>
        <w:t>NOTES:</w:t>
      </w:r>
    </w:p>
    <w:p w14:paraId="305F1F71"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45F1BD"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57C8A3"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CB8DB0C"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B8404B"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9872422" w14:textId="77777777" w:rsidR="00060149" w:rsidRPr="009605CE"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082109B"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C3E580" w14:textId="77777777" w:rsidR="00060149"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E481526" w14:textId="77777777" w:rsidR="00060149" w:rsidRPr="004A2646" w:rsidRDefault="00060149" w:rsidP="0006014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05025C" w14:textId="77777777" w:rsidR="00060149" w:rsidRDefault="00060149" w:rsidP="00060149">
      <w:pPr>
        <w:spacing w:line="360" w:lineRule="auto"/>
      </w:pPr>
    </w:p>
    <w:p w14:paraId="6053184B" w14:textId="727AC249" w:rsidR="003930AA" w:rsidRDefault="003930AA">
      <w:pPr>
        <w:rPr>
          <w:rFonts w:asciiTheme="majorHAnsi" w:eastAsiaTheme="majorEastAsia" w:hAnsiTheme="majorHAnsi" w:cstheme="majorBidi"/>
          <w:b/>
          <w:bCs/>
          <w:color w:val="4F81BD" w:themeColor="accent1"/>
        </w:rPr>
      </w:pPr>
    </w:p>
    <w:p w14:paraId="6ED7D800" w14:textId="619827D5" w:rsidR="007F464B" w:rsidRDefault="0066448F" w:rsidP="007A3E59">
      <w:pPr>
        <w:pStyle w:val="Heading2"/>
      </w:pPr>
      <w:bookmarkStart w:id="39" w:name="_Toc510512496"/>
      <w:r>
        <w:lastRenderedPageBreak/>
        <w:t>Quality of Performance</w:t>
      </w:r>
      <w:bookmarkEnd w:id="39"/>
    </w:p>
    <w:p w14:paraId="69866146" w14:textId="3B867213" w:rsidR="007F464B" w:rsidRDefault="0066448F" w:rsidP="007F464B">
      <w:pPr>
        <w:spacing w:line="360" w:lineRule="auto"/>
        <w:jc w:val="center"/>
      </w:pPr>
      <w:r w:rsidRPr="0066448F">
        <w:rPr>
          <w:noProof/>
        </w:rPr>
        <w:drawing>
          <wp:inline distT="0" distB="0" distL="0" distR="0" wp14:anchorId="2FD326EF" wp14:editId="5289651B">
            <wp:extent cx="4572396" cy="3429297"/>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396" cy="3429297"/>
                    </a:xfrm>
                    <a:prstGeom prst="rect">
                      <a:avLst/>
                    </a:prstGeom>
                  </pic:spPr>
                </pic:pic>
              </a:graphicData>
            </a:graphic>
          </wp:inline>
        </w:drawing>
      </w:r>
    </w:p>
    <w:p w14:paraId="682567F5" w14:textId="77777777" w:rsidR="0066448F" w:rsidRPr="0066448F" w:rsidRDefault="0066448F" w:rsidP="0066448F">
      <w:r w:rsidRPr="0066448F">
        <w:t>10 U.S.C. §1597(f) requires the determination of which DoD employees shall be separated from employment in a reduction in force to be made primarily on the basis of performance.</w:t>
      </w:r>
    </w:p>
    <w:p w14:paraId="7E121A1C" w14:textId="77777777" w:rsidR="0066448F" w:rsidRPr="0066448F" w:rsidRDefault="0066448F" w:rsidP="0066448F">
      <w:r w:rsidRPr="0066448F">
        <w:t>The performance level to be assigned to each contribution factor should reflect an employee’s characteristic level of performance during the appraisal cycle as compared to the CCAS factor descriptors and discriminators, expected contribution criteria, an employee’s contribution plan, and the impact of the quality of the contributions on the organization.</w:t>
      </w:r>
    </w:p>
    <w:p w14:paraId="1780AAE5" w14:textId="77777777" w:rsidR="0066448F" w:rsidRPr="0066448F" w:rsidRDefault="0066448F" w:rsidP="0066448F">
      <w:r w:rsidRPr="0066448F">
        <w:t xml:space="preserve">A Participating Organization may supplement the generic criteria with additional standards that identify milestones, production, due dates, or other measurable aspects of success contributing to the accomplishment of the goals and objectives necessary to meet an organization’s mission and are achievable during the appraisal cycle. </w:t>
      </w:r>
    </w:p>
    <w:p w14:paraId="0DF7D703" w14:textId="1499B79B" w:rsidR="007F464B" w:rsidRPr="00AC6C1B" w:rsidRDefault="007F464B" w:rsidP="00AC6C1B">
      <w:pPr>
        <w:pStyle w:val="NoSpacing"/>
        <w:rPr>
          <w:rFonts w:cstheme="minorHAnsi"/>
          <w:kern w:val="24"/>
        </w:rPr>
      </w:pPr>
    </w:p>
    <w:p w14:paraId="04663802" w14:textId="77777777" w:rsidR="00770663" w:rsidRDefault="00770663">
      <w:pPr>
        <w:rPr>
          <w:color w:val="000000"/>
        </w:rPr>
      </w:pPr>
      <w:r>
        <w:rPr>
          <w:color w:val="000000"/>
        </w:rPr>
        <w:br w:type="page"/>
      </w:r>
    </w:p>
    <w:p w14:paraId="607F55F4" w14:textId="0EE0EA76" w:rsidR="00770663" w:rsidRDefault="005A1D80" w:rsidP="007A3E59">
      <w:pPr>
        <w:pStyle w:val="Heading2"/>
      </w:pPr>
      <w:bookmarkStart w:id="40" w:name="_Toc510512497"/>
      <w:r>
        <w:lastRenderedPageBreak/>
        <w:t>Quality of Performance Level Definitions</w:t>
      </w:r>
      <w:bookmarkEnd w:id="40"/>
    </w:p>
    <w:p w14:paraId="10115872" w14:textId="116A2D09" w:rsidR="00770663" w:rsidRDefault="005A1D80" w:rsidP="00770663">
      <w:pPr>
        <w:spacing w:line="360" w:lineRule="auto"/>
        <w:jc w:val="center"/>
      </w:pPr>
      <w:r w:rsidRPr="005A1D80">
        <w:rPr>
          <w:noProof/>
        </w:rPr>
        <w:drawing>
          <wp:inline distT="0" distB="0" distL="0" distR="0" wp14:anchorId="314E7242" wp14:editId="29822C76">
            <wp:extent cx="4572396" cy="3429297"/>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396" cy="3429297"/>
                    </a:xfrm>
                    <a:prstGeom prst="rect">
                      <a:avLst/>
                    </a:prstGeom>
                  </pic:spPr>
                </pic:pic>
              </a:graphicData>
            </a:graphic>
          </wp:inline>
        </w:drawing>
      </w:r>
    </w:p>
    <w:p w14:paraId="724E4F3A" w14:textId="77777777" w:rsidR="005A1D80" w:rsidRDefault="005A1D80" w:rsidP="005A1D80">
      <w:r w:rsidRPr="005A1D80">
        <w:t xml:space="preserve">As the rating official considers such items as the employee’s self-assessment, clients’ feedback, and personal observations in preparation for assigning preliminary CCAS categorical scores, he/she will also assess the quality of the employee’s performance in achieving his/her contribution results under each of the three contribution factors. A preliminary performance appraisal level of either Level 5 – Outstanding, Level 3 – Fully Successful, or Level 1 - Unacceptable from Table 3 will be assigned by the rating official to each of the three contribution factors. </w:t>
      </w:r>
    </w:p>
    <w:p w14:paraId="2ACE6606" w14:textId="77777777" w:rsidR="005A1D80" w:rsidRDefault="005A1D80" w:rsidP="005A1D80">
      <w:pPr>
        <w:rPr>
          <w:rFonts w:eastAsiaTheme="minorEastAsia" w:cstheme="minorHAnsi"/>
        </w:rPr>
      </w:pPr>
      <w:r w:rsidRPr="005A1D80">
        <w:rPr>
          <w:rFonts w:eastAsiaTheme="minorEastAsia" w:cstheme="minorHAnsi"/>
        </w:rPr>
        <w:t>The three performance appraisal levels are averaged to calculate the annual rating of record. The resulting quotient will be rounded to the nearest tenth of a decimal point.</w:t>
      </w:r>
    </w:p>
    <w:p w14:paraId="2F0A7F66" w14:textId="67110ACC" w:rsidR="00322B4E" w:rsidRDefault="00322B4E">
      <w:pPr>
        <w:rPr>
          <w:noProof/>
        </w:rPr>
      </w:pPr>
      <w:r>
        <w:rPr>
          <w:noProof/>
        </w:rPr>
        <w:br w:type="page"/>
      </w:r>
    </w:p>
    <w:p w14:paraId="102E0DF1" w14:textId="4AD9EE12" w:rsidR="00770663" w:rsidRDefault="00322B4E" w:rsidP="007A3E59">
      <w:pPr>
        <w:pStyle w:val="Heading2"/>
      </w:pPr>
      <w:bookmarkStart w:id="41" w:name="_Toc510512498"/>
      <w:r>
        <w:lastRenderedPageBreak/>
        <w:t>Quality of Performance Level Values</w:t>
      </w:r>
      <w:bookmarkEnd w:id="41"/>
    </w:p>
    <w:p w14:paraId="231DAE5F" w14:textId="7DB9CCE5" w:rsidR="00041B5E" w:rsidRDefault="00322B4E" w:rsidP="005C7DCC">
      <w:pPr>
        <w:spacing w:line="360" w:lineRule="auto"/>
        <w:jc w:val="center"/>
      </w:pPr>
      <w:r w:rsidRPr="00322B4E">
        <w:rPr>
          <w:noProof/>
        </w:rPr>
        <w:drawing>
          <wp:inline distT="0" distB="0" distL="0" distR="0" wp14:anchorId="6B703AA3" wp14:editId="4B866411">
            <wp:extent cx="4572396" cy="3429297"/>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396" cy="3429297"/>
                    </a:xfrm>
                    <a:prstGeom prst="rect">
                      <a:avLst/>
                    </a:prstGeom>
                  </pic:spPr>
                </pic:pic>
              </a:graphicData>
            </a:graphic>
          </wp:inline>
        </w:drawing>
      </w:r>
    </w:p>
    <w:p w14:paraId="2B44CB94" w14:textId="77777777" w:rsidR="00322B4E" w:rsidRPr="00322B4E" w:rsidRDefault="00322B4E" w:rsidP="00322B4E">
      <w:r w:rsidRPr="00322B4E">
        <w:t xml:space="preserve">During the pay pool panel process, panel members will review the preliminary performance appraisal level justifications for the contribution factors and rating of record for all pay pool members for consistency and equity of application within the pay pool population before final approval. </w:t>
      </w:r>
    </w:p>
    <w:p w14:paraId="0942AA49" w14:textId="77777777" w:rsidR="00322B4E" w:rsidRPr="00322B4E" w:rsidRDefault="00322B4E" w:rsidP="00322B4E">
      <w:r w:rsidRPr="00322B4E">
        <w:t xml:space="preserve">The average raw score of the three appraisal levels and the approved annual rating of record will be recorded in the Defense Civilian Personnel Data System. </w:t>
      </w:r>
    </w:p>
    <w:p w14:paraId="5D8B6ADD" w14:textId="77777777" w:rsidR="00322B4E" w:rsidRPr="00322B4E" w:rsidRDefault="00322B4E" w:rsidP="00322B4E">
      <w:r w:rsidRPr="00322B4E">
        <w:t xml:space="preserve">The annual rating of record will be recorded as a Level 5 - Outstanding, Level 3 - Fully Successful, or Level 1 - Unacceptable. </w:t>
      </w:r>
    </w:p>
    <w:p w14:paraId="32D83126" w14:textId="01A43DFF" w:rsidR="00770663" w:rsidRDefault="00322B4E" w:rsidP="007A3E59">
      <w:pPr>
        <w:pStyle w:val="Heading2"/>
      </w:pPr>
      <w:bookmarkStart w:id="42" w:name="_Toc510512499"/>
      <w:r>
        <w:lastRenderedPageBreak/>
        <w:t>CCAS Grievance Process</w:t>
      </w:r>
      <w:bookmarkEnd w:id="42"/>
    </w:p>
    <w:p w14:paraId="2AE23B20" w14:textId="4213CD4F" w:rsidR="00770663" w:rsidRDefault="00322B4E" w:rsidP="00770663">
      <w:pPr>
        <w:spacing w:line="360" w:lineRule="auto"/>
        <w:jc w:val="center"/>
      </w:pPr>
      <w:r w:rsidRPr="00322B4E">
        <w:rPr>
          <w:noProof/>
        </w:rPr>
        <w:drawing>
          <wp:inline distT="0" distB="0" distL="0" distR="0" wp14:anchorId="0CB81F80" wp14:editId="0E9D3623">
            <wp:extent cx="4572396" cy="3429297"/>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396" cy="3429297"/>
                    </a:xfrm>
                    <a:prstGeom prst="rect">
                      <a:avLst/>
                    </a:prstGeom>
                  </pic:spPr>
                </pic:pic>
              </a:graphicData>
            </a:graphic>
          </wp:inline>
        </w:drawing>
      </w:r>
    </w:p>
    <w:p w14:paraId="283580F6" w14:textId="7533F62B" w:rsidR="00322B4E" w:rsidRDefault="00322B4E" w:rsidP="00322B4E">
      <w:pPr>
        <w:pStyle w:val="NoSpacing"/>
        <w:rPr>
          <w:rFonts w:cstheme="minorHAnsi"/>
          <w:color w:val="000000"/>
        </w:rPr>
      </w:pPr>
      <w:r w:rsidRPr="00322B4E">
        <w:rPr>
          <w:rFonts w:cstheme="minorHAnsi"/>
          <w:color w:val="000000"/>
        </w:rPr>
        <w:t>HR Professionals must document and report grievances</w:t>
      </w:r>
      <w:r>
        <w:rPr>
          <w:rFonts w:cstheme="minorHAnsi"/>
          <w:color w:val="000000"/>
        </w:rPr>
        <w:t>.  Typical timelines are:</w:t>
      </w:r>
    </w:p>
    <w:p w14:paraId="3EE97743" w14:textId="77777777" w:rsidR="00322B4E" w:rsidRPr="00322B4E" w:rsidRDefault="00322B4E" w:rsidP="00322B4E">
      <w:pPr>
        <w:pStyle w:val="NoSpacing"/>
        <w:rPr>
          <w:rFonts w:cstheme="minorHAnsi"/>
          <w:color w:val="000000"/>
        </w:rPr>
      </w:pPr>
    </w:p>
    <w:p w14:paraId="27A131BD" w14:textId="5C03E20E" w:rsidR="003C1945" w:rsidRDefault="009832E4" w:rsidP="009832E4">
      <w:pPr>
        <w:pStyle w:val="NoSpacing"/>
        <w:numPr>
          <w:ilvl w:val="0"/>
          <w:numId w:val="2"/>
        </w:numPr>
        <w:rPr>
          <w:rFonts w:cstheme="minorHAnsi"/>
          <w:color w:val="000000"/>
        </w:rPr>
      </w:pPr>
      <w:r w:rsidRPr="00322B4E">
        <w:rPr>
          <w:rFonts w:cstheme="minorHAnsi"/>
          <w:color w:val="000000"/>
        </w:rPr>
        <w:t>Within 15 calendar days of receiving CCAS Part I (the Overall Contribution Score and Salary/Award payout) the employee will submit the grievance first to the rating official.</w:t>
      </w:r>
    </w:p>
    <w:p w14:paraId="1C040ECD" w14:textId="77777777" w:rsidR="00322B4E" w:rsidRPr="00322B4E" w:rsidRDefault="00322B4E" w:rsidP="00322B4E">
      <w:pPr>
        <w:pStyle w:val="NoSpacing"/>
        <w:ind w:left="720"/>
        <w:rPr>
          <w:rFonts w:cstheme="minorHAnsi"/>
          <w:color w:val="000000"/>
        </w:rPr>
      </w:pPr>
    </w:p>
    <w:p w14:paraId="6DFDE75D" w14:textId="62B88E89" w:rsidR="003C1945" w:rsidRPr="00322B4E" w:rsidRDefault="009832E4" w:rsidP="009832E4">
      <w:pPr>
        <w:pStyle w:val="NoSpacing"/>
        <w:numPr>
          <w:ilvl w:val="0"/>
          <w:numId w:val="2"/>
        </w:numPr>
        <w:rPr>
          <w:rFonts w:cstheme="minorHAnsi"/>
          <w:color w:val="000000"/>
        </w:rPr>
      </w:pPr>
      <w:r w:rsidRPr="00322B4E">
        <w:rPr>
          <w:rFonts w:cstheme="minorHAnsi"/>
          <w:color w:val="000000"/>
        </w:rPr>
        <w:t xml:space="preserve">Within 10 calendar days of date of grievance, the supervisor will submit a recommendation to the pay pool panel. </w:t>
      </w:r>
      <w:r w:rsidR="00322B4E">
        <w:rPr>
          <w:rFonts w:cstheme="minorHAnsi"/>
          <w:color w:val="000000"/>
        </w:rPr>
        <w:br/>
      </w:r>
    </w:p>
    <w:p w14:paraId="40A1D478" w14:textId="5D410339" w:rsidR="00322B4E" w:rsidRPr="00322B4E" w:rsidRDefault="00322B4E" w:rsidP="00322B4E">
      <w:pPr>
        <w:pStyle w:val="NoSpacing"/>
        <w:ind w:left="630" w:hanging="270"/>
        <w:rPr>
          <w:rFonts w:cstheme="minorHAnsi"/>
          <w:color w:val="000000"/>
        </w:rPr>
      </w:pPr>
      <w:r w:rsidRPr="00322B4E">
        <w:rPr>
          <w:rFonts w:cstheme="minorHAnsi"/>
          <w:color w:val="000000"/>
        </w:rPr>
        <w:t>(3) The pay pool panel accepts the rating official's recommendation or reaches an independent decision within 30 days of date of grievance and provides the employee a written decision.</w:t>
      </w:r>
      <w:r>
        <w:rPr>
          <w:rFonts w:cstheme="minorHAnsi"/>
          <w:color w:val="000000"/>
        </w:rPr>
        <w:br/>
      </w:r>
    </w:p>
    <w:p w14:paraId="1B60D8D6" w14:textId="2225794D" w:rsidR="00322B4E" w:rsidRPr="00322B4E" w:rsidRDefault="00322B4E" w:rsidP="00322B4E">
      <w:pPr>
        <w:pStyle w:val="NoSpacing"/>
        <w:ind w:left="630" w:hanging="270"/>
        <w:rPr>
          <w:rFonts w:cstheme="minorHAnsi"/>
          <w:color w:val="000000"/>
        </w:rPr>
      </w:pPr>
      <w:r w:rsidRPr="00322B4E">
        <w:rPr>
          <w:rFonts w:cstheme="minorHAnsi"/>
          <w:color w:val="000000"/>
        </w:rPr>
        <w:t xml:space="preserve">(4) If an employee is dissatisfied with the pay pool panel's decision, within 15 calendar days of receipt of the pay pool’s written decision, he or she may submit a request for reconsideration with the pay pool manager’s next higher official.  </w:t>
      </w:r>
      <w:r>
        <w:rPr>
          <w:rFonts w:cstheme="minorHAnsi"/>
          <w:color w:val="000000"/>
        </w:rPr>
        <w:br/>
      </w:r>
    </w:p>
    <w:p w14:paraId="6D6B4A07" w14:textId="09D4C85C" w:rsidR="00322B4E" w:rsidRPr="00322B4E" w:rsidRDefault="00322B4E" w:rsidP="00322B4E">
      <w:pPr>
        <w:pStyle w:val="NoSpacing"/>
        <w:ind w:left="630" w:hanging="270"/>
        <w:rPr>
          <w:rFonts w:cstheme="minorHAnsi"/>
          <w:color w:val="000000"/>
        </w:rPr>
      </w:pPr>
      <w:r w:rsidRPr="00322B4E">
        <w:rPr>
          <w:rFonts w:cstheme="minorHAnsi"/>
          <w:color w:val="000000"/>
        </w:rPr>
        <w:t xml:space="preserve">(5) Within 60 calendar days of date of request for reconsideration, that </w:t>
      </w:r>
      <w:r>
        <w:rPr>
          <w:rFonts w:cstheme="minorHAnsi"/>
          <w:color w:val="000000"/>
        </w:rPr>
        <w:t xml:space="preserve">next higher </w:t>
      </w:r>
      <w:r w:rsidRPr="00322B4E">
        <w:rPr>
          <w:rFonts w:cstheme="minorHAnsi"/>
          <w:color w:val="000000"/>
        </w:rPr>
        <w:t>official renders a final written and binding decision on the grievance.</w:t>
      </w:r>
    </w:p>
    <w:p w14:paraId="4402F691" w14:textId="11529547" w:rsidR="00853239" w:rsidRDefault="00853239" w:rsidP="00853239">
      <w:pPr>
        <w:pStyle w:val="NoSpacing"/>
        <w:rPr>
          <w:rFonts w:eastAsiaTheme="minorHAnsi" w:cstheme="minorHAnsi"/>
          <w:color w:val="000000"/>
        </w:rPr>
      </w:pPr>
    </w:p>
    <w:p w14:paraId="40B9FE81" w14:textId="77777777" w:rsidR="008E1C39" w:rsidRDefault="008E1C39">
      <w:pPr>
        <w:rPr>
          <w:rFonts w:cstheme="minorHAnsi"/>
          <w:color w:val="000000"/>
        </w:rPr>
      </w:pPr>
      <w:r>
        <w:rPr>
          <w:rFonts w:cstheme="minorHAnsi"/>
          <w:color w:val="000000"/>
        </w:rPr>
        <w:br w:type="page"/>
      </w:r>
    </w:p>
    <w:p w14:paraId="713C3A3D" w14:textId="36822C25" w:rsidR="001A100F" w:rsidRPr="001A100F" w:rsidRDefault="00322B4E" w:rsidP="001A100F">
      <w:pPr>
        <w:pStyle w:val="Heading3"/>
      </w:pPr>
      <w:bookmarkStart w:id="43" w:name="_Toc510512500"/>
      <w:r>
        <w:lastRenderedPageBreak/>
        <w:t>Quality of Performance and Grievance Process Business Rules Decisions</w:t>
      </w:r>
      <w:bookmarkEnd w:id="43"/>
    </w:p>
    <w:p w14:paraId="2E9326DB" w14:textId="0B6BCED3" w:rsidR="00770663" w:rsidRDefault="00322B4E" w:rsidP="001A100F">
      <w:pPr>
        <w:jc w:val="center"/>
      </w:pPr>
      <w:r w:rsidRPr="00322B4E">
        <w:rPr>
          <w:noProof/>
        </w:rPr>
        <w:drawing>
          <wp:inline distT="0" distB="0" distL="0" distR="0" wp14:anchorId="41EA2FEC" wp14:editId="503D3E36">
            <wp:extent cx="4572396" cy="3429297"/>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396" cy="3429297"/>
                    </a:xfrm>
                    <a:prstGeom prst="rect">
                      <a:avLst/>
                    </a:prstGeom>
                  </pic:spPr>
                </pic:pic>
              </a:graphicData>
            </a:graphic>
          </wp:inline>
        </w:drawing>
      </w:r>
    </w:p>
    <w:p w14:paraId="6B7B60B8" w14:textId="77777777" w:rsidR="00322B4E" w:rsidRDefault="00322B4E" w:rsidP="00322B4E">
      <w:pPr>
        <w:spacing w:line="360" w:lineRule="auto"/>
      </w:pPr>
      <w:r>
        <w:t>NOTES:</w:t>
      </w:r>
    </w:p>
    <w:p w14:paraId="773A51DA"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62FE53"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C37FCE"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20AF0E2"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C7C8EB"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73CFC5" w14:textId="77777777" w:rsidR="00322B4E" w:rsidRPr="009605C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F66E71"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F7AF89" w14:textId="77777777" w:rsidR="00322B4E"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D15BD03" w14:textId="77777777" w:rsidR="00322B4E" w:rsidRPr="004A2646" w:rsidRDefault="00322B4E" w:rsidP="00322B4E">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774F63E" w14:textId="77777777" w:rsidR="00FF13AE" w:rsidRDefault="00FF13AE" w:rsidP="007C345E">
      <w:pPr>
        <w:pStyle w:val="NoSpacing"/>
      </w:pPr>
    </w:p>
    <w:p w14:paraId="28E8875B" w14:textId="5CAA4307" w:rsidR="00041B5E" w:rsidRPr="00662975" w:rsidRDefault="00041B5E" w:rsidP="00662975">
      <w:pPr>
        <w:jc w:val="center"/>
        <w:rPr>
          <w:b/>
          <w:bCs/>
        </w:rPr>
      </w:pPr>
    </w:p>
    <w:p w14:paraId="7B9D82F3" w14:textId="0ADA4182" w:rsidR="00770663" w:rsidRDefault="00770663" w:rsidP="00770663">
      <w:pPr>
        <w:spacing w:line="360" w:lineRule="auto"/>
        <w:jc w:val="center"/>
      </w:pPr>
    </w:p>
    <w:p w14:paraId="17F66D1D" w14:textId="4F99FB23" w:rsidR="008A4940" w:rsidRDefault="00643982" w:rsidP="00C9500F">
      <w:pPr>
        <w:pStyle w:val="Heading2"/>
      </w:pPr>
      <w:bookmarkStart w:id="44" w:name="_Toc510512501"/>
      <w:r>
        <w:lastRenderedPageBreak/>
        <w:t>Communicating Aggregate CCAS Results</w:t>
      </w:r>
      <w:bookmarkEnd w:id="44"/>
    </w:p>
    <w:p w14:paraId="63C4A383" w14:textId="097BB0C7" w:rsidR="008A4940" w:rsidRDefault="00643982" w:rsidP="008A4940">
      <w:pPr>
        <w:spacing w:line="360" w:lineRule="auto"/>
        <w:jc w:val="center"/>
      </w:pPr>
      <w:r w:rsidRPr="00643982">
        <w:rPr>
          <w:noProof/>
        </w:rPr>
        <w:drawing>
          <wp:inline distT="0" distB="0" distL="0" distR="0" wp14:anchorId="6939673B" wp14:editId="5A3A3154">
            <wp:extent cx="4572396" cy="3429297"/>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396" cy="3429297"/>
                    </a:xfrm>
                    <a:prstGeom prst="rect">
                      <a:avLst/>
                    </a:prstGeom>
                  </pic:spPr>
                </pic:pic>
              </a:graphicData>
            </a:graphic>
          </wp:inline>
        </w:drawing>
      </w:r>
    </w:p>
    <w:p w14:paraId="3B1766B4" w14:textId="77777777" w:rsidR="00643982" w:rsidRDefault="00643982" w:rsidP="00643982">
      <w:r>
        <w:t>Aggregate pay pool results data is required to be shared with the employees, but the specifics of exactly what is shared is up to each participating organization to determine.</w:t>
      </w:r>
    </w:p>
    <w:p w14:paraId="40BFD9A3" w14:textId="3F18F262" w:rsidR="00643982" w:rsidRPr="00643982" w:rsidRDefault="00643982" w:rsidP="00643982">
      <w:r w:rsidRPr="00643982">
        <w:t>Feedback and communication is a key component of the CCAS process. Providing the workforce with aggregate results will help foster an overall understanding of what is meaningful for the organization’s successful performance and increases the level of understanding and transparency in the appraisal process. Pay pool data maintainers can provide the required data for the aggregate results and in organizations with multiple pay pools, the Superuser can provide multiple pay pool aggregate results.</w:t>
      </w:r>
    </w:p>
    <w:p w14:paraId="31099273" w14:textId="6CA2E88A" w:rsidR="00536C54" w:rsidRDefault="00536C54"/>
    <w:p w14:paraId="57442130" w14:textId="77777777" w:rsidR="008A4940" w:rsidRDefault="008A4940">
      <w:r>
        <w:br w:type="page"/>
      </w:r>
    </w:p>
    <w:p w14:paraId="6BBA1F5A" w14:textId="0B7AC126" w:rsidR="00041B5E" w:rsidRDefault="00643982" w:rsidP="00041B5E">
      <w:pPr>
        <w:pStyle w:val="Heading2"/>
      </w:pPr>
      <w:bookmarkStart w:id="45" w:name="_Toc510512502"/>
      <w:r>
        <w:lastRenderedPageBreak/>
        <w:t>Continual Feedback and Mid-Point Review</w:t>
      </w:r>
      <w:bookmarkEnd w:id="45"/>
    </w:p>
    <w:p w14:paraId="5E51B5A2" w14:textId="527FF27C" w:rsidR="00777141" w:rsidRDefault="00643982" w:rsidP="00777141">
      <w:pPr>
        <w:spacing w:line="360" w:lineRule="auto"/>
        <w:jc w:val="center"/>
      </w:pPr>
      <w:r w:rsidRPr="00643982">
        <w:rPr>
          <w:noProof/>
        </w:rPr>
        <w:drawing>
          <wp:inline distT="0" distB="0" distL="0" distR="0" wp14:anchorId="118669E6" wp14:editId="6C9950C7">
            <wp:extent cx="4572396" cy="3429297"/>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396" cy="3429297"/>
                    </a:xfrm>
                    <a:prstGeom prst="rect">
                      <a:avLst/>
                    </a:prstGeom>
                  </pic:spPr>
                </pic:pic>
              </a:graphicData>
            </a:graphic>
          </wp:inline>
        </w:drawing>
      </w:r>
    </w:p>
    <w:p w14:paraId="677C9BD7" w14:textId="77777777" w:rsidR="00643982" w:rsidRPr="00643982" w:rsidRDefault="00643982" w:rsidP="00643982">
      <w:r w:rsidRPr="00643982">
        <w:t xml:space="preserve">Ongoing supervisor (or designated rating official) and employee discussion during the appraisal cycle of specific work assignments, objectives, contribution expectations, strengths, weaknesses, contribution results, and assessment of the quality of performance within the CCAS framework is essential. This must include discussion of any inadequate contribution and performance in one or more of the factors. If contribution and/or performance is considered inadequate, early steps need to be taken to address the reasons for the inadequate performance and provide appropriate assistance to the employee. </w:t>
      </w:r>
    </w:p>
    <w:p w14:paraId="4E19B303" w14:textId="7C90A120" w:rsidR="00643982" w:rsidRPr="00643982" w:rsidRDefault="00643982" w:rsidP="00643982">
      <w:r w:rsidRPr="00643982">
        <w:t xml:space="preserve">Approximately midway through each appraisal cycle, employees are highly encouraged to complete the mid-point self-assessments and supervisors will complete a mid-point narrative assessment. The supervisor will not assign any scores to the mid-point review. The supervisor will meet with the employee to discuss progress of the contribution plan, areas needing improvement, assistance available, and expectations for the remainder of the cycle. The supervisor must document the mid-point review discussion by entering the date and method of communication in CAS2Net. </w:t>
      </w:r>
    </w:p>
    <w:p w14:paraId="27F9FA3D" w14:textId="1B84BC9F" w:rsidR="00643982" w:rsidRPr="00643982" w:rsidRDefault="00E46EE8" w:rsidP="00643982">
      <w:r>
        <w:t xml:space="preserve">An </w:t>
      </w:r>
      <w:r w:rsidR="00643982" w:rsidRPr="00643982">
        <w:t xml:space="preserve">Additional Feedback </w:t>
      </w:r>
      <w:r>
        <w:t xml:space="preserve">module </w:t>
      </w:r>
      <w:r w:rsidR="00643982" w:rsidRPr="00643982">
        <w:t>allows the supervisor to provide helpful guidance throughout the contribution-rating period. An Additional Feedback paragraph in the organization’s business rules should include examples of why supervisors would want to use this module such as documenting declining performance and suggestions on how to improve. Constant communication will eliminate blindsiding the employee with a poor assessment at annual appraisal time.</w:t>
      </w:r>
    </w:p>
    <w:p w14:paraId="7FB1DE17" w14:textId="56EF8F06" w:rsidR="003F3032" w:rsidRDefault="003F3032" w:rsidP="00777141">
      <w:pPr>
        <w:spacing w:line="360" w:lineRule="auto"/>
      </w:pPr>
      <w:r>
        <w:br w:type="page"/>
      </w:r>
    </w:p>
    <w:p w14:paraId="264BB5A0" w14:textId="7BB1F50D" w:rsidR="00823401" w:rsidRDefault="00E46EE8" w:rsidP="00860AD6">
      <w:pPr>
        <w:pStyle w:val="Heading2"/>
      </w:pPr>
      <w:bookmarkStart w:id="46" w:name="_Toc510512503"/>
      <w:r>
        <w:lastRenderedPageBreak/>
        <w:t>Closeout Assessments</w:t>
      </w:r>
      <w:bookmarkEnd w:id="46"/>
    </w:p>
    <w:p w14:paraId="4183798A" w14:textId="2ED46ACD" w:rsidR="00823401" w:rsidRDefault="00E46EE8" w:rsidP="00823401">
      <w:pPr>
        <w:jc w:val="center"/>
      </w:pPr>
      <w:r w:rsidRPr="00E46EE8">
        <w:rPr>
          <w:noProof/>
        </w:rPr>
        <w:drawing>
          <wp:inline distT="0" distB="0" distL="0" distR="0" wp14:anchorId="2612185C" wp14:editId="1F3D4BC1">
            <wp:extent cx="4572396" cy="3429297"/>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72396" cy="3429297"/>
                    </a:xfrm>
                    <a:prstGeom prst="rect">
                      <a:avLst/>
                    </a:prstGeom>
                  </pic:spPr>
                </pic:pic>
              </a:graphicData>
            </a:graphic>
          </wp:inline>
        </w:drawing>
      </w:r>
    </w:p>
    <w:p w14:paraId="3A0C8528" w14:textId="33954D0F" w:rsidR="00E46EE8" w:rsidRPr="00E46EE8" w:rsidRDefault="00E46EE8" w:rsidP="00E46EE8">
      <w:r w:rsidRPr="00E46EE8">
        <w:t xml:space="preserve">A partial closeout is prepared upon a change of supervisor and is not to be used in lieu of the annual assessment. A closeout enables the employee and supervisor to document contributions for partial year position assignments, </w:t>
      </w:r>
      <w:r>
        <w:t>but</w:t>
      </w:r>
      <w:r w:rsidRPr="00E46EE8">
        <w:t xml:space="preserve"> will not include any scores. There are no minimum periods for a rating official to complete a closeout. </w:t>
      </w:r>
    </w:p>
    <w:p w14:paraId="0D5D29C0" w14:textId="574E95BB" w:rsidR="00E46EE8" w:rsidRPr="00E46EE8" w:rsidRDefault="00E46EE8" w:rsidP="00E46EE8">
      <w:r w:rsidRPr="00E46EE8">
        <w:t xml:space="preserve">When the supervisor/rating official leaves before the end of the appraisal period, the departing supervisor/rating official will complete a closeout assessment in CAS2Net and discuss the closeout assessment with the employee. The supervisor must document the closeout discussion to include entering the date and method of communication in CAS2Net. The departing rating official may prepare a Mid-Point Review in lieu of a closeout if departing during the time period designated for Mid-Point Reviews by the organization. </w:t>
      </w:r>
    </w:p>
    <w:p w14:paraId="7CCEE168" w14:textId="4BA72B0B" w:rsidR="00E46EE8" w:rsidRPr="00E46EE8" w:rsidRDefault="00E46EE8" w:rsidP="00E46EE8">
      <w:r>
        <w:t>T</w:t>
      </w:r>
      <w:r w:rsidRPr="00E46EE8">
        <w:t xml:space="preserve">he </w:t>
      </w:r>
      <w:r>
        <w:t>AcqDemo r</w:t>
      </w:r>
      <w:r w:rsidRPr="00E46EE8">
        <w:t>egulation</w:t>
      </w:r>
      <w:r>
        <w:t>s</w:t>
      </w:r>
      <w:r w:rsidRPr="00E46EE8">
        <w:t xml:space="preserve"> do not set any minimum time period for supervisors to complete a closeout assessment when the prescribed circumstances require one.</w:t>
      </w:r>
    </w:p>
    <w:p w14:paraId="0E9A724A" w14:textId="03F583D3" w:rsidR="00823401" w:rsidRDefault="00823401" w:rsidP="00823401"/>
    <w:p w14:paraId="561F442B" w14:textId="2DF6F4F5" w:rsidR="00E72B2A" w:rsidRDefault="00E46EE8" w:rsidP="00823401">
      <w:pPr>
        <w:pStyle w:val="Heading3"/>
      </w:pPr>
      <w:bookmarkStart w:id="47" w:name="_Toc510512504"/>
      <w:r>
        <w:lastRenderedPageBreak/>
        <w:t>Communication and Feedback Business Rules Decisions</w:t>
      </w:r>
      <w:bookmarkEnd w:id="47"/>
    </w:p>
    <w:p w14:paraId="3EA9DC0A" w14:textId="7B1D98A2" w:rsidR="00E72B2A" w:rsidRDefault="00E46EE8" w:rsidP="002122B0">
      <w:pPr>
        <w:jc w:val="center"/>
      </w:pPr>
      <w:r w:rsidRPr="00E46EE8">
        <w:rPr>
          <w:noProof/>
        </w:rPr>
        <w:drawing>
          <wp:inline distT="0" distB="0" distL="0" distR="0" wp14:anchorId="34E1ABDB" wp14:editId="508AD051">
            <wp:extent cx="4572396" cy="3429297"/>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396" cy="3429297"/>
                    </a:xfrm>
                    <a:prstGeom prst="rect">
                      <a:avLst/>
                    </a:prstGeom>
                  </pic:spPr>
                </pic:pic>
              </a:graphicData>
            </a:graphic>
          </wp:inline>
        </w:drawing>
      </w:r>
    </w:p>
    <w:p w14:paraId="1CE88A3E" w14:textId="77777777" w:rsidR="00E46EE8" w:rsidRDefault="00E46EE8" w:rsidP="00E46EE8">
      <w:pPr>
        <w:spacing w:line="360" w:lineRule="auto"/>
      </w:pPr>
      <w:r>
        <w:t>NOTES:</w:t>
      </w:r>
    </w:p>
    <w:p w14:paraId="200C234C"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B2EBFC"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713E010"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87A485"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BF72EF"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1A914E4" w14:textId="77777777" w:rsidR="00E46EE8" w:rsidRPr="009605CE"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932F0A"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F808606" w14:textId="77777777" w:rsidR="00E46EE8"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0A26388" w14:textId="77777777" w:rsidR="00E46EE8" w:rsidRPr="004A2646" w:rsidRDefault="00E46EE8" w:rsidP="00E46EE8">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sectPr w:rsidR="00E46EE8" w:rsidRPr="004A2646" w:rsidSect="009555CE">
      <w:headerReference w:type="even" r:id="rId70"/>
      <w:headerReference w:type="default" r:id="rId71"/>
      <w:footerReference w:type="even" r:id="rId72"/>
      <w:footerReference w:type="default" r:id="rId73"/>
      <w:pgSz w:w="12240" w:h="15840"/>
      <w:pgMar w:top="1152"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8B2F4" w14:textId="77777777" w:rsidR="006C6F9C" w:rsidRDefault="006C6F9C" w:rsidP="007F5CFF">
      <w:pPr>
        <w:spacing w:after="0" w:line="240" w:lineRule="auto"/>
      </w:pPr>
      <w:r>
        <w:separator/>
      </w:r>
    </w:p>
  </w:endnote>
  <w:endnote w:type="continuationSeparator" w:id="0">
    <w:p w14:paraId="79F8B620" w14:textId="77777777" w:rsidR="006C6F9C" w:rsidRDefault="006C6F9C" w:rsidP="007F5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53528"/>
      <w:docPartObj>
        <w:docPartGallery w:val="Page Numbers (Bottom of Page)"/>
        <w:docPartUnique/>
      </w:docPartObj>
    </w:sdtPr>
    <w:sdtEndPr>
      <w:rPr>
        <w:color w:val="7F7F7F" w:themeColor="background1" w:themeShade="7F"/>
        <w:spacing w:val="60"/>
      </w:rPr>
    </w:sdtEndPr>
    <w:sdtContent>
      <w:p w14:paraId="683235A6" w14:textId="77777777" w:rsidR="007A3E59" w:rsidRDefault="007A3E59" w:rsidP="0049604B">
        <w:pPr>
          <w:pStyle w:val="Footer"/>
          <w:pBdr>
            <w:top w:val="single" w:sz="4" w:space="1" w:color="D9D9D9" w:themeColor="background1" w:themeShade="D9"/>
          </w:pBdr>
        </w:pPr>
        <w:r>
          <w:fldChar w:fldCharType="begin"/>
        </w:r>
        <w:r>
          <w:instrText xml:space="preserve"> PAGE   \* MERGEFORMAT </w:instrText>
        </w:r>
        <w:r>
          <w:fldChar w:fldCharType="separate"/>
        </w:r>
        <w:r>
          <w:rPr>
            <w:noProof/>
          </w:rPr>
          <w:t>96</w:t>
        </w:r>
        <w:r>
          <w:rPr>
            <w:noProof/>
          </w:rPr>
          <w:fldChar w:fldCharType="end"/>
        </w:r>
        <w:r>
          <w:t xml:space="preserve"> | </w:t>
        </w:r>
        <w:r>
          <w:rPr>
            <w:color w:val="7F7F7F" w:themeColor="background1" w:themeShade="7F"/>
            <w:spacing w:val="60"/>
          </w:rPr>
          <w:t>Page</w:t>
        </w:r>
      </w:p>
    </w:sdtContent>
  </w:sdt>
  <w:p w14:paraId="694119A3" w14:textId="77777777" w:rsidR="007A3E59" w:rsidRDefault="007A3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48357"/>
      <w:docPartObj>
        <w:docPartGallery w:val="Page Numbers (Bottom of Page)"/>
        <w:docPartUnique/>
      </w:docPartObj>
    </w:sdtPr>
    <w:sdtEndPr>
      <w:rPr>
        <w:color w:val="7F7F7F" w:themeColor="background1" w:themeShade="7F"/>
        <w:spacing w:val="60"/>
      </w:rPr>
    </w:sdtEndPr>
    <w:sdtContent>
      <w:p w14:paraId="5ED1676C" w14:textId="77777777" w:rsidR="007A3E59" w:rsidRDefault="007A3E59" w:rsidP="0049604B">
        <w:pPr>
          <w:pStyle w:val="Footer"/>
          <w:pBdr>
            <w:top w:val="single" w:sz="4" w:space="1" w:color="D9D9D9" w:themeColor="background1" w:themeShade="D9"/>
          </w:pBdr>
          <w:jc w:val="right"/>
          <w:rPr>
            <w:b/>
          </w:rPr>
        </w:pPr>
        <w:r>
          <w:fldChar w:fldCharType="begin"/>
        </w:r>
        <w:r>
          <w:instrText xml:space="preserve"> PAGE   \* MERGEFORMAT </w:instrText>
        </w:r>
        <w:r>
          <w:fldChar w:fldCharType="separate"/>
        </w:r>
        <w:r w:rsidRPr="00E408D5">
          <w:rPr>
            <w:b/>
            <w:noProof/>
          </w:rPr>
          <w:t>97</w:t>
        </w:r>
        <w:r>
          <w:rPr>
            <w:b/>
            <w:noProof/>
          </w:rPr>
          <w:fldChar w:fldCharType="end"/>
        </w:r>
        <w:r>
          <w:rPr>
            <w:b/>
          </w:rPr>
          <w:t xml:space="preserve"> | </w:t>
        </w:r>
        <w:r>
          <w:rPr>
            <w:color w:val="7F7F7F" w:themeColor="background1" w:themeShade="7F"/>
            <w:spacing w:val="60"/>
          </w:rPr>
          <w:t>Page</w:t>
        </w:r>
      </w:p>
    </w:sdtContent>
  </w:sdt>
  <w:p w14:paraId="22798DDA" w14:textId="77777777" w:rsidR="007A3E59" w:rsidRDefault="007A3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82AB9" w14:textId="77777777" w:rsidR="006C6F9C" w:rsidRDefault="006C6F9C" w:rsidP="007F5CFF">
      <w:pPr>
        <w:spacing w:after="0" w:line="240" w:lineRule="auto"/>
      </w:pPr>
      <w:r>
        <w:separator/>
      </w:r>
    </w:p>
  </w:footnote>
  <w:footnote w:type="continuationSeparator" w:id="0">
    <w:p w14:paraId="0685DED9" w14:textId="77777777" w:rsidR="006C6F9C" w:rsidRDefault="006C6F9C" w:rsidP="007F5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79"/>
      <w:gridCol w:w="1181"/>
    </w:tblGrid>
    <w:tr w:rsidR="007A3E59" w:rsidRPr="008D0F2D" w14:paraId="19C38C4C" w14:textId="77777777" w:rsidTr="00DA45B2">
      <w:trPr>
        <w:trHeight w:val="288"/>
      </w:trPr>
      <w:sdt>
        <w:sdtPr>
          <w:rPr>
            <w:rFonts w:eastAsiaTheme="majorEastAsia" w:cstheme="minorHAnsi"/>
            <w:b/>
          </w:rPr>
          <w:alias w:val="Title"/>
          <w:id w:val="267970"/>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0DF5C860" w14:textId="1433DF1C" w:rsidR="007A3E59" w:rsidRPr="008D0F2D" w:rsidRDefault="007A3E59" w:rsidP="001C467E">
              <w:pPr>
                <w:pStyle w:val="Header"/>
                <w:rPr>
                  <w:rFonts w:eastAsiaTheme="majorEastAsia" w:cstheme="minorHAnsi"/>
                  <w:b/>
                </w:rPr>
              </w:pPr>
              <w:r>
                <w:rPr>
                  <w:rFonts w:eastAsiaTheme="majorEastAsia" w:cstheme="minorHAnsi"/>
                  <w:b/>
                </w:rPr>
                <w:t>Business Rules Development</w:t>
              </w:r>
            </w:p>
          </w:tc>
        </w:sdtContent>
      </w:sdt>
      <w:sdt>
        <w:sdtPr>
          <w:rPr>
            <w:rFonts w:eastAsiaTheme="majorEastAsia" w:cstheme="minorHAnsi"/>
            <w:b/>
            <w:bCs/>
            <w:color w:val="4F81BD" w:themeColor="accent1"/>
          </w:rPr>
          <w:alias w:val="Year"/>
          <w:id w:val="26797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14:paraId="2914B07E" w14:textId="77777777" w:rsidR="007A3E59" w:rsidRPr="008D0F2D" w:rsidRDefault="007A3E59" w:rsidP="00DA45B2">
              <w:pPr>
                <w:pStyle w:val="Header"/>
                <w:rPr>
                  <w:rFonts w:eastAsiaTheme="majorEastAsia" w:cstheme="minorHAnsi"/>
                  <w:b/>
                  <w:bCs/>
                  <w:color w:val="4F81BD" w:themeColor="accent1"/>
                </w:rPr>
              </w:pPr>
              <w:r w:rsidRPr="008D0F2D">
                <w:rPr>
                  <w:rFonts w:eastAsiaTheme="majorEastAsia" w:cstheme="minorHAnsi"/>
                  <w:b/>
                  <w:bCs/>
                  <w:color w:val="4F81BD" w:themeColor="accent1"/>
                </w:rPr>
                <w:t>AcqDemo</w:t>
              </w:r>
            </w:p>
          </w:tc>
        </w:sdtContent>
      </w:sdt>
    </w:tr>
  </w:tbl>
  <w:p w14:paraId="7DE9EDC3" w14:textId="77777777" w:rsidR="007A3E59" w:rsidRDefault="007A3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79"/>
      <w:gridCol w:w="1181"/>
    </w:tblGrid>
    <w:tr w:rsidR="007A3E59" w:rsidRPr="008D0F2D" w14:paraId="228C4C5A" w14:textId="77777777">
      <w:trPr>
        <w:trHeight w:val="288"/>
      </w:trPr>
      <w:sdt>
        <w:sdtPr>
          <w:rPr>
            <w:rFonts w:eastAsiaTheme="majorEastAsia" w:cstheme="minorHAnsi"/>
            <w:b/>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20DE48FD" w14:textId="3243526D" w:rsidR="007A3E59" w:rsidRPr="008D0F2D" w:rsidRDefault="007A3E59" w:rsidP="007F5CFF">
              <w:pPr>
                <w:pStyle w:val="Header"/>
                <w:rPr>
                  <w:rFonts w:eastAsiaTheme="majorEastAsia" w:cstheme="minorHAnsi"/>
                  <w:b/>
                </w:rPr>
              </w:pPr>
              <w:r>
                <w:rPr>
                  <w:rFonts w:eastAsiaTheme="majorEastAsia" w:cstheme="minorHAnsi"/>
                  <w:b/>
                </w:rPr>
                <w:t>Business Rules Development</w:t>
              </w:r>
            </w:p>
          </w:tc>
        </w:sdtContent>
      </w:sdt>
      <w:sdt>
        <w:sdtPr>
          <w:rPr>
            <w:rFonts w:eastAsiaTheme="majorEastAsia" w:cstheme="minorHAnsi"/>
            <w:b/>
            <w:bCs/>
            <w:color w:val="4F81BD" w:themeColor="accent1"/>
          </w:rPr>
          <w:alias w:val="Year"/>
          <w:id w:val="777616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14:paraId="0AA2CC82" w14:textId="77777777" w:rsidR="007A3E59" w:rsidRPr="008D0F2D" w:rsidRDefault="007A3E59" w:rsidP="007F5CFF">
              <w:pPr>
                <w:pStyle w:val="Header"/>
                <w:rPr>
                  <w:rFonts w:eastAsiaTheme="majorEastAsia" w:cstheme="minorHAnsi"/>
                  <w:b/>
                  <w:bCs/>
                  <w:color w:val="4F81BD" w:themeColor="accent1"/>
                </w:rPr>
              </w:pPr>
              <w:r w:rsidRPr="008D0F2D">
                <w:rPr>
                  <w:rFonts w:eastAsiaTheme="majorEastAsia" w:cstheme="minorHAnsi"/>
                  <w:b/>
                  <w:bCs/>
                  <w:color w:val="4F81BD" w:themeColor="accent1"/>
                </w:rPr>
                <w:t>AcqDemo</w:t>
              </w:r>
            </w:p>
          </w:tc>
        </w:sdtContent>
      </w:sdt>
    </w:tr>
  </w:tbl>
  <w:p w14:paraId="7B59EA37" w14:textId="77777777" w:rsidR="007A3E59" w:rsidRPr="007F5CFF" w:rsidRDefault="007A3E59" w:rsidP="007F5CFF">
    <w:pPr>
      <w:pStyle w:val="Head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42A0"/>
    <w:multiLevelType w:val="hybridMultilevel"/>
    <w:tmpl w:val="56CE79DC"/>
    <w:lvl w:ilvl="0" w:tplc="751C516C">
      <w:start w:val="1"/>
      <w:numFmt w:val="decimal"/>
      <w:lvlText w:val="(%1)"/>
      <w:lvlJc w:val="left"/>
      <w:pPr>
        <w:tabs>
          <w:tab w:val="num" w:pos="720"/>
        </w:tabs>
        <w:ind w:left="720" w:hanging="360"/>
      </w:pPr>
    </w:lvl>
    <w:lvl w:ilvl="1" w:tplc="EE1E7746" w:tentative="1">
      <w:start w:val="1"/>
      <w:numFmt w:val="decimal"/>
      <w:lvlText w:val="(%2)"/>
      <w:lvlJc w:val="left"/>
      <w:pPr>
        <w:tabs>
          <w:tab w:val="num" w:pos="1440"/>
        </w:tabs>
        <w:ind w:left="1440" w:hanging="360"/>
      </w:pPr>
    </w:lvl>
    <w:lvl w:ilvl="2" w:tplc="456CB11C" w:tentative="1">
      <w:start w:val="1"/>
      <w:numFmt w:val="decimal"/>
      <w:lvlText w:val="(%3)"/>
      <w:lvlJc w:val="left"/>
      <w:pPr>
        <w:tabs>
          <w:tab w:val="num" w:pos="2160"/>
        </w:tabs>
        <w:ind w:left="2160" w:hanging="360"/>
      </w:pPr>
    </w:lvl>
    <w:lvl w:ilvl="3" w:tplc="16C28A3E" w:tentative="1">
      <w:start w:val="1"/>
      <w:numFmt w:val="decimal"/>
      <w:lvlText w:val="(%4)"/>
      <w:lvlJc w:val="left"/>
      <w:pPr>
        <w:tabs>
          <w:tab w:val="num" w:pos="2880"/>
        </w:tabs>
        <w:ind w:left="2880" w:hanging="360"/>
      </w:pPr>
    </w:lvl>
    <w:lvl w:ilvl="4" w:tplc="0BD075D8" w:tentative="1">
      <w:start w:val="1"/>
      <w:numFmt w:val="decimal"/>
      <w:lvlText w:val="(%5)"/>
      <w:lvlJc w:val="left"/>
      <w:pPr>
        <w:tabs>
          <w:tab w:val="num" w:pos="3600"/>
        </w:tabs>
        <w:ind w:left="3600" w:hanging="360"/>
      </w:pPr>
    </w:lvl>
    <w:lvl w:ilvl="5" w:tplc="7C0415DA" w:tentative="1">
      <w:start w:val="1"/>
      <w:numFmt w:val="decimal"/>
      <w:lvlText w:val="(%6)"/>
      <w:lvlJc w:val="left"/>
      <w:pPr>
        <w:tabs>
          <w:tab w:val="num" w:pos="4320"/>
        </w:tabs>
        <w:ind w:left="4320" w:hanging="360"/>
      </w:pPr>
    </w:lvl>
    <w:lvl w:ilvl="6" w:tplc="D4BE39D8" w:tentative="1">
      <w:start w:val="1"/>
      <w:numFmt w:val="decimal"/>
      <w:lvlText w:val="(%7)"/>
      <w:lvlJc w:val="left"/>
      <w:pPr>
        <w:tabs>
          <w:tab w:val="num" w:pos="5040"/>
        </w:tabs>
        <w:ind w:left="5040" w:hanging="360"/>
      </w:pPr>
    </w:lvl>
    <w:lvl w:ilvl="7" w:tplc="7BB8A1DE" w:tentative="1">
      <w:start w:val="1"/>
      <w:numFmt w:val="decimal"/>
      <w:lvlText w:val="(%8)"/>
      <w:lvlJc w:val="left"/>
      <w:pPr>
        <w:tabs>
          <w:tab w:val="num" w:pos="5760"/>
        </w:tabs>
        <w:ind w:left="5760" w:hanging="360"/>
      </w:pPr>
    </w:lvl>
    <w:lvl w:ilvl="8" w:tplc="31BC5530" w:tentative="1">
      <w:start w:val="1"/>
      <w:numFmt w:val="decimal"/>
      <w:lvlText w:val="(%9)"/>
      <w:lvlJc w:val="left"/>
      <w:pPr>
        <w:tabs>
          <w:tab w:val="num" w:pos="6480"/>
        </w:tabs>
        <w:ind w:left="6480" w:hanging="360"/>
      </w:pPr>
    </w:lvl>
  </w:abstractNum>
  <w:abstractNum w:abstractNumId="1" w15:restartNumberingAfterBreak="0">
    <w:nsid w:val="372123CA"/>
    <w:multiLevelType w:val="hybridMultilevel"/>
    <w:tmpl w:val="8DEAD6B6"/>
    <w:lvl w:ilvl="0" w:tplc="A9E2DE4A">
      <w:start w:val="1"/>
      <w:numFmt w:val="bullet"/>
      <w:lvlText w:val="•"/>
      <w:lvlJc w:val="left"/>
      <w:pPr>
        <w:tabs>
          <w:tab w:val="num" w:pos="720"/>
        </w:tabs>
        <w:ind w:left="720" w:hanging="360"/>
      </w:pPr>
      <w:rPr>
        <w:rFonts w:ascii="Arial" w:hAnsi="Arial" w:hint="default"/>
      </w:rPr>
    </w:lvl>
    <w:lvl w:ilvl="1" w:tplc="747C190E" w:tentative="1">
      <w:start w:val="1"/>
      <w:numFmt w:val="bullet"/>
      <w:lvlText w:val="•"/>
      <w:lvlJc w:val="left"/>
      <w:pPr>
        <w:tabs>
          <w:tab w:val="num" w:pos="1440"/>
        </w:tabs>
        <w:ind w:left="1440" w:hanging="360"/>
      </w:pPr>
      <w:rPr>
        <w:rFonts w:ascii="Arial" w:hAnsi="Arial" w:hint="default"/>
      </w:rPr>
    </w:lvl>
    <w:lvl w:ilvl="2" w:tplc="99AE381E" w:tentative="1">
      <w:start w:val="1"/>
      <w:numFmt w:val="bullet"/>
      <w:lvlText w:val="•"/>
      <w:lvlJc w:val="left"/>
      <w:pPr>
        <w:tabs>
          <w:tab w:val="num" w:pos="2160"/>
        </w:tabs>
        <w:ind w:left="2160" w:hanging="360"/>
      </w:pPr>
      <w:rPr>
        <w:rFonts w:ascii="Arial" w:hAnsi="Arial" w:hint="default"/>
      </w:rPr>
    </w:lvl>
    <w:lvl w:ilvl="3" w:tplc="26248E16" w:tentative="1">
      <w:start w:val="1"/>
      <w:numFmt w:val="bullet"/>
      <w:lvlText w:val="•"/>
      <w:lvlJc w:val="left"/>
      <w:pPr>
        <w:tabs>
          <w:tab w:val="num" w:pos="2880"/>
        </w:tabs>
        <w:ind w:left="2880" w:hanging="360"/>
      </w:pPr>
      <w:rPr>
        <w:rFonts w:ascii="Arial" w:hAnsi="Arial" w:hint="default"/>
      </w:rPr>
    </w:lvl>
    <w:lvl w:ilvl="4" w:tplc="5D7E29BC" w:tentative="1">
      <w:start w:val="1"/>
      <w:numFmt w:val="bullet"/>
      <w:lvlText w:val="•"/>
      <w:lvlJc w:val="left"/>
      <w:pPr>
        <w:tabs>
          <w:tab w:val="num" w:pos="3600"/>
        </w:tabs>
        <w:ind w:left="3600" w:hanging="360"/>
      </w:pPr>
      <w:rPr>
        <w:rFonts w:ascii="Arial" w:hAnsi="Arial" w:hint="default"/>
      </w:rPr>
    </w:lvl>
    <w:lvl w:ilvl="5" w:tplc="9A6E0C9A" w:tentative="1">
      <w:start w:val="1"/>
      <w:numFmt w:val="bullet"/>
      <w:lvlText w:val="•"/>
      <w:lvlJc w:val="left"/>
      <w:pPr>
        <w:tabs>
          <w:tab w:val="num" w:pos="4320"/>
        </w:tabs>
        <w:ind w:left="4320" w:hanging="360"/>
      </w:pPr>
      <w:rPr>
        <w:rFonts w:ascii="Arial" w:hAnsi="Arial" w:hint="default"/>
      </w:rPr>
    </w:lvl>
    <w:lvl w:ilvl="6" w:tplc="B9D4ACBC" w:tentative="1">
      <w:start w:val="1"/>
      <w:numFmt w:val="bullet"/>
      <w:lvlText w:val="•"/>
      <w:lvlJc w:val="left"/>
      <w:pPr>
        <w:tabs>
          <w:tab w:val="num" w:pos="5040"/>
        </w:tabs>
        <w:ind w:left="5040" w:hanging="360"/>
      </w:pPr>
      <w:rPr>
        <w:rFonts w:ascii="Arial" w:hAnsi="Arial" w:hint="default"/>
      </w:rPr>
    </w:lvl>
    <w:lvl w:ilvl="7" w:tplc="3B8E32F4" w:tentative="1">
      <w:start w:val="1"/>
      <w:numFmt w:val="bullet"/>
      <w:lvlText w:val="•"/>
      <w:lvlJc w:val="left"/>
      <w:pPr>
        <w:tabs>
          <w:tab w:val="num" w:pos="5760"/>
        </w:tabs>
        <w:ind w:left="5760" w:hanging="360"/>
      </w:pPr>
      <w:rPr>
        <w:rFonts w:ascii="Arial" w:hAnsi="Arial" w:hint="default"/>
      </w:rPr>
    </w:lvl>
    <w:lvl w:ilvl="8" w:tplc="21C4B19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940"/>
    <w:rsid w:val="00000255"/>
    <w:rsid w:val="0000058F"/>
    <w:rsid w:val="00003982"/>
    <w:rsid w:val="00004488"/>
    <w:rsid w:val="00004E95"/>
    <w:rsid w:val="00010660"/>
    <w:rsid w:val="000111DB"/>
    <w:rsid w:val="00012F38"/>
    <w:rsid w:val="00013E8E"/>
    <w:rsid w:val="00014B9A"/>
    <w:rsid w:val="000167C5"/>
    <w:rsid w:val="00023A0B"/>
    <w:rsid w:val="000271C1"/>
    <w:rsid w:val="00041B5E"/>
    <w:rsid w:val="00046BDB"/>
    <w:rsid w:val="0005053D"/>
    <w:rsid w:val="00051168"/>
    <w:rsid w:val="00052730"/>
    <w:rsid w:val="000528E6"/>
    <w:rsid w:val="00052AC7"/>
    <w:rsid w:val="00056D6D"/>
    <w:rsid w:val="00060149"/>
    <w:rsid w:val="00060677"/>
    <w:rsid w:val="00063DF2"/>
    <w:rsid w:val="00064652"/>
    <w:rsid w:val="0007279F"/>
    <w:rsid w:val="0007286E"/>
    <w:rsid w:val="000779CC"/>
    <w:rsid w:val="00086A6E"/>
    <w:rsid w:val="0008701F"/>
    <w:rsid w:val="000931D9"/>
    <w:rsid w:val="00095E66"/>
    <w:rsid w:val="00097178"/>
    <w:rsid w:val="000978BB"/>
    <w:rsid w:val="000A5669"/>
    <w:rsid w:val="000B1480"/>
    <w:rsid w:val="000B5523"/>
    <w:rsid w:val="000B7426"/>
    <w:rsid w:val="000C4AB0"/>
    <w:rsid w:val="000C6728"/>
    <w:rsid w:val="000C7B9F"/>
    <w:rsid w:val="000D2DA8"/>
    <w:rsid w:val="000D41D6"/>
    <w:rsid w:val="000D6E5B"/>
    <w:rsid w:val="000E1F78"/>
    <w:rsid w:val="000E2A0C"/>
    <w:rsid w:val="000E4E3F"/>
    <w:rsid w:val="000E5250"/>
    <w:rsid w:val="000E56F3"/>
    <w:rsid w:val="000E7ACC"/>
    <w:rsid w:val="000F318A"/>
    <w:rsid w:val="000F3968"/>
    <w:rsid w:val="000F4642"/>
    <w:rsid w:val="000F6035"/>
    <w:rsid w:val="001001CC"/>
    <w:rsid w:val="0010627D"/>
    <w:rsid w:val="00111E59"/>
    <w:rsid w:val="001168B1"/>
    <w:rsid w:val="00116F58"/>
    <w:rsid w:val="00133E0A"/>
    <w:rsid w:val="001348FF"/>
    <w:rsid w:val="00134958"/>
    <w:rsid w:val="00143D68"/>
    <w:rsid w:val="00147ECA"/>
    <w:rsid w:val="00151303"/>
    <w:rsid w:val="00153BC4"/>
    <w:rsid w:val="001633B2"/>
    <w:rsid w:val="0016359C"/>
    <w:rsid w:val="00163B11"/>
    <w:rsid w:val="00163C5B"/>
    <w:rsid w:val="00164274"/>
    <w:rsid w:val="001651FF"/>
    <w:rsid w:val="0016681B"/>
    <w:rsid w:val="00173535"/>
    <w:rsid w:val="001745D8"/>
    <w:rsid w:val="001A100F"/>
    <w:rsid w:val="001A557F"/>
    <w:rsid w:val="001B1871"/>
    <w:rsid w:val="001B648D"/>
    <w:rsid w:val="001B6922"/>
    <w:rsid w:val="001C302E"/>
    <w:rsid w:val="001C385D"/>
    <w:rsid w:val="001C3B71"/>
    <w:rsid w:val="001C3E8A"/>
    <w:rsid w:val="001C3F78"/>
    <w:rsid w:val="001C467E"/>
    <w:rsid w:val="001C4F5A"/>
    <w:rsid w:val="001C7F09"/>
    <w:rsid w:val="001D042E"/>
    <w:rsid w:val="001D17FF"/>
    <w:rsid w:val="001D37E4"/>
    <w:rsid w:val="001D3CBA"/>
    <w:rsid w:val="001D518E"/>
    <w:rsid w:val="001D7DFA"/>
    <w:rsid w:val="001E02F2"/>
    <w:rsid w:val="001E094D"/>
    <w:rsid w:val="001E7CE1"/>
    <w:rsid w:val="001F08D7"/>
    <w:rsid w:val="001F1A09"/>
    <w:rsid w:val="001F30F7"/>
    <w:rsid w:val="001F6916"/>
    <w:rsid w:val="001F7556"/>
    <w:rsid w:val="00201D5D"/>
    <w:rsid w:val="00202C8B"/>
    <w:rsid w:val="00211834"/>
    <w:rsid w:val="00211A2C"/>
    <w:rsid w:val="00211D19"/>
    <w:rsid w:val="002122B0"/>
    <w:rsid w:val="00212D91"/>
    <w:rsid w:val="00213C32"/>
    <w:rsid w:val="00214B87"/>
    <w:rsid w:val="002150FF"/>
    <w:rsid w:val="00215BB4"/>
    <w:rsid w:val="00221512"/>
    <w:rsid w:val="0022736C"/>
    <w:rsid w:val="00230CE7"/>
    <w:rsid w:val="00231AC5"/>
    <w:rsid w:val="002369D7"/>
    <w:rsid w:val="00240758"/>
    <w:rsid w:val="002418B6"/>
    <w:rsid w:val="00244EA0"/>
    <w:rsid w:val="00251D4C"/>
    <w:rsid w:val="00251F84"/>
    <w:rsid w:val="0025236C"/>
    <w:rsid w:val="002535AC"/>
    <w:rsid w:val="0026235C"/>
    <w:rsid w:val="00262F1C"/>
    <w:rsid w:val="00263352"/>
    <w:rsid w:val="002645B2"/>
    <w:rsid w:val="00267012"/>
    <w:rsid w:val="002719FB"/>
    <w:rsid w:val="002720CE"/>
    <w:rsid w:val="00276671"/>
    <w:rsid w:val="002776EF"/>
    <w:rsid w:val="0028063C"/>
    <w:rsid w:val="00283149"/>
    <w:rsid w:val="002852A4"/>
    <w:rsid w:val="002856B8"/>
    <w:rsid w:val="0029032B"/>
    <w:rsid w:val="00292E14"/>
    <w:rsid w:val="00292EC5"/>
    <w:rsid w:val="00292F91"/>
    <w:rsid w:val="002932AB"/>
    <w:rsid w:val="00293494"/>
    <w:rsid w:val="00293FB9"/>
    <w:rsid w:val="00294179"/>
    <w:rsid w:val="002A5BC5"/>
    <w:rsid w:val="002B013C"/>
    <w:rsid w:val="002B0866"/>
    <w:rsid w:val="002B22EC"/>
    <w:rsid w:val="002B38BF"/>
    <w:rsid w:val="002B4A5D"/>
    <w:rsid w:val="002C2CBC"/>
    <w:rsid w:val="002D06FA"/>
    <w:rsid w:val="002D0761"/>
    <w:rsid w:val="002D15AE"/>
    <w:rsid w:val="002D228E"/>
    <w:rsid w:val="002D2879"/>
    <w:rsid w:val="002D6524"/>
    <w:rsid w:val="002E0331"/>
    <w:rsid w:val="002E60D9"/>
    <w:rsid w:val="002E6483"/>
    <w:rsid w:val="002E7E2C"/>
    <w:rsid w:val="002F2F01"/>
    <w:rsid w:val="002F6654"/>
    <w:rsid w:val="002F7CFD"/>
    <w:rsid w:val="00300636"/>
    <w:rsid w:val="00304422"/>
    <w:rsid w:val="00306959"/>
    <w:rsid w:val="00315544"/>
    <w:rsid w:val="00320B24"/>
    <w:rsid w:val="003217D7"/>
    <w:rsid w:val="00322B4E"/>
    <w:rsid w:val="00325CD9"/>
    <w:rsid w:val="00334625"/>
    <w:rsid w:val="00337A06"/>
    <w:rsid w:val="003424A4"/>
    <w:rsid w:val="003433A8"/>
    <w:rsid w:val="00345904"/>
    <w:rsid w:val="00353D72"/>
    <w:rsid w:val="00354C6B"/>
    <w:rsid w:val="00357D3D"/>
    <w:rsid w:val="00366C99"/>
    <w:rsid w:val="0036793A"/>
    <w:rsid w:val="0037013C"/>
    <w:rsid w:val="00374235"/>
    <w:rsid w:val="00375910"/>
    <w:rsid w:val="00376567"/>
    <w:rsid w:val="00381652"/>
    <w:rsid w:val="003817BC"/>
    <w:rsid w:val="003827DD"/>
    <w:rsid w:val="00383DAD"/>
    <w:rsid w:val="00384733"/>
    <w:rsid w:val="00384C1F"/>
    <w:rsid w:val="00385113"/>
    <w:rsid w:val="00386C91"/>
    <w:rsid w:val="00387D01"/>
    <w:rsid w:val="003930AA"/>
    <w:rsid w:val="003947E0"/>
    <w:rsid w:val="00397DB0"/>
    <w:rsid w:val="003A2BDE"/>
    <w:rsid w:val="003A303D"/>
    <w:rsid w:val="003A37D0"/>
    <w:rsid w:val="003B100B"/>
    <w:rsid w:val="003B1762"/>
    <w:rsid w:val="003B64C6"/>
    <w:rsid w:val="003C1945"/>
    <w:rsid w:val="003C2A2A"/>
    <w:rsid w:val="003C2C26"/>
    <w:rsid w:val="003C3433"/>
    <w:rsid w:val="003C4AC0"/>
    <w:rsid w:val="003D1E83"/>
    <w:rsid w:val="003D33AD"/>
    <w:rsid w:val="003D4E21"/>
    <w:rsid w:val="003D64EE"/>
    <w:rsid w:val="003D69E5"/>
    <w:rsid w:val="003D738D"/>
    <w:rsid w:val="003E0FB9"/>
    <w:rsid w:val="003F0D3A"/>
    <w:rsid w:val="003F3032"/>
    <w:rsid w:val="003F594F"/>
    <w:rsid w:val="003F6DA7"/>
    <w:rsid w:val="00402CE1"/>
    <w:rsid w:val="004105A0"/>
    <w:rsid w:val="004137B5"/>
    <w:rsid w:val="004137C3"/>
    <w:rsid w:val="00414679"/>
    <w:rsid w:val="00417832"/>
    <w:rsid w:val="00420C9E"/>
    <w:rsid w:val="00421AF7"/>
    <w:rsid w:val="00425D6A"/>
    <w:rsid w:val="00426875"/>
    <w:rsid w:val="00427B33"/>
    <w:rsid w:val="00431501"/>
    <w:rsid w:val="004317CF"/>
    <w:rsid w:val="00433403"/>
    <w:rsid w:val="004424FA"/>
    <w:rsid w:val="00450435"/>
    <w:rsid w:val="00451847"/>
    <w:rsid w:val="00455C7F"/>
    <w:rsid w:val="00464503"/>
    <w:rsid w:val="0046570D"/>
    <w:rsid w:val="004727E7"/>
    <w:rsid w:val="00473279"/>
    <w:rsid w:val="0047410F"/>
    <w:rsid w:val="00476B3C"/>
    <w:rsid w:val="00477E50"/>
    <w:rsid w:val="00483C07"/>
    <w:rsid w:val="004845F9"/>
    <w:rsid w:val="00495570"/>
    <w:rsid w:val="004956AF"/>
    <w:rsid w:val="0049604B"/>
    <w:rsid w:val="00497103"/>
    <w:rsid w:val="004A16CD"/>
    <w:rsid w:val="004A2646"/>
    <w:rsid w:val="004A4606"/>
    <w:rsid w:val="004A6139"/>
    <w:rsid w:val="004A7240"/>
    <w:rsid w:val="004A7D05"/>
    <w:rsid w:val="004B2993"/>
    <w:rsid w:val="004B2E4B"/>
    <w:rsid w:val="004B2FEA"/>
    <w:rsid w:val="004B634E"/>
    <w:rsid w:val="004B70A0"/>
    <w:rsid w:val="004C062A"/>
    <w:rsid w:val="004C25C6"/>
    <w:rsid w:val="004D00E6"/>
    <w:rsid w:val="004D294A"/>
    <w:rsid w:val="004D4F90"/>
    <w:rsid w:val="004D661F"/>
    <w:rsid w:val="004E2D9F"/>
    <w:rsid w:val="004E46DA"/>
    <w:rsid w:val="004E47F0"/>
    <w:rsid w:val="004F200A"/>
    <w:rsid w:val="004F617C"/>
    <w:rsid w:val="004F6ECE"/>
    <w:rsid w:val="00500E58"/>
    <w:rsid w:val="00505499"/>
    <w:rsid w:val="00505928"/>
    <w:rsid w:val="00511989"/>
    <w:rsid w:val="0051249D"/>
    <w:rsid w:val="00513806"/>
    <w:rsid w:val="00514199"/>
    <w:rsid w:val="00516537"/>
    <w:rsid w:val="00521A3A"/>
    <w:rsid w:val="0052259C"/>
    <w:rsid w:val="005311FA"/>
    <w:rsid w:val="00531767"/>
    <w:rsid w:val="00534B53"/>
    <w:rsid w:val="00534BFE"/>
    <w:rsid w:val="00536C54"/>
    <w:rsid w:val="0054131B"/>
    <w:rsid w:val="005470F1"/>
    <w:rsid w:val="00553D8D"/>
    <w:rsid w:val="00554AE3"/>
    <w:rsid w:val="00564CAD"/>
    <w:rsid w:val="00565D93"/>
    <w:rsid w:val="00566FBA"/>
    <w:rsid w:val="005714F6"/>
    <w:rsid w:val="00571BF8"/>
    <w:rsid w:val="00573CAD"/>
    <w:rsid w:val="005754C8"/>
    <w:rsid w:val="005765D4"/>
    <w:rsid w:val="00576D49"/>
    <w:rsid w:val="00581733"/>
    <w:rsid w:val="00582D6D"/>
    <w:rsid w:val="005852B8"/>
    <w:rsid w:val="00585343"/>
    <w:rsid w:val="00591683"/>
    <w:rsid w:val="00593963"/>
    <w:rsid w:val="005A0F1C"/>
    <w:rsid w:val="005A1D80"/>
    <w:rsid w:val="005B3FC2"/>
    <w:rsid w:val="005B7D69"/>
    <w:rsid w:val="005C5D72"/>
    <w:rsid w:val="005C7D83"/>
    <w:rsid w:val="005C7DCC"/>
    <w:rsid w:val="005D3EC1"/>
    <w:rsid w:val="005E0F47"/>
    <w:rsid w:val="005E176A"/>
    <w:rsid w:val="005E1E57"/>
    <w:rsid w:val="005E2426"/>
    <w:rsid w:val="005E2BE1"/>
    <w:rsid w:val="005E4BCF"/>
    <w:rsid w:val="005F0FD1"/>
    <w:rsid w:val="005F3750"/>
    <w:rsid w:val="005F39FC"/>
    <w:rsid w:val="005F4037"/>
    <w:rsid w:val="00610035"/>
    <w:rsid w:val="00610FCC"/>
    <w:rsid w:val="00611295"/>
    <w:rsid w:val="006147BD"/>
    <w:rsid w:val="00614C35"/>
    <w:rsid w:val="006179A0"/>
    <w:rsid w:val="0062360B"/>
    <w:rsid w:val="00625A67"/>
    <w:rsid w:val="00630FCC"/>
    <w:rsid w:val="00631AB1"/>
    <w:rsid w:val="00643982"/>
    <w:rsid w:val="006445F9"/>
    <w:rsid w:val="00644988"/>
    <w:rsid w:val="00644C6B"/>
    <w:rsid w:val="0064524B"/>
    <w:rsid w:val="00647390"/>
    <w:rsid w:val="006526DE"/>
    <w:rsid w:val="00657E3D"/>
    <w:rsid w:val="0066217C"/>
    <w:rsid w:val="00662975"/>
    <w:rsid w:val="00662BDB"/>
    <w:rsid w:val="0066448F"/>
    <w:rsid w:val="00670F7F"/>
    <w:rsid w:val="00673615"/>
    <w:rsid w:val="00673E15"/>
    <w:rsid w:val="00674FD3"/>
    <w:rsid w:val="00675C8F"/>
    <w:rsid w:val="006800F9"/>
    <w:rsid w:val="00682077"/>
    <w:rsid w:val="006827B0"/>
    <w:rsid w:val="00685139"/>
    <w:rsid w:val="00687A59"/>
    <w:rsid w:val="0069578D"/>
    <w:rsid w:val="00697C76"/>
    <w:rsid w:val="00697CDB"/>
    <w:rsid w:val="006A01AC"/>
    <w:rsid w:val="006A3A5E"/>
    <w:rsid w:val="006A4D96"/>
    <w:rsid w:val="006A5682"/>
    <w:rsid w:val="006B117E"/>
    <w:rsid w:val="006B21BB"/>
    <w:rsid w:val="006B278E"/>
    <w:rsid w:val="006B5520"/>
    <w:rsid w:val="006B604B"/>
    <w:rsid w:val="006C6F9C"/>
    <w:rsid w:val="006D210A"/>
    <w:rsid w:val="006E440E"/>
    <w:rsid w:val="006E669D"/>
    <w:rsid w:val="006E6DF6"/>
    <w:rsid w:val="006F4ED8"/>
    <w:rsid w:val="006F674C"/>
    <w:rsid w:val="006F7027"/>
    <w:rsid w:val="007003FB"/>
    <w:rsid w:val="00702AA6"/>
    <w:rsid w:val="00702FC6"/>
    <w:rsid w:val="00704163"/>
    <w:rsid w:val="00705675"/>
    <w:rsid w:val="007060D0"/>
    <w:rsid w:val="007074C2"/>
    <w:rsid w:val="007134CE"/>
    <w:rsid w:val="00715922"/>
    <w:rsid w:val="0071597B"/>
    <w:rsid w:val="007215C2"/>
    <w:rsid w:val="00721695"/>
    <w:rsid w:val="007243A0"/>
    <w:rsid w:val="00725C23"/>
    <w:rsid w:val="00727B11"/>
    <w:rsid w:val="0073173B"/>
    <w:rsid w:val="00734FC0"/>
    <w:rsid w:val="007369C6"/>
    <w:rsid w:val="0074589C"/>
    <w:rsid w:val="00746D6B"/>
    <w:rsid w:val="00752359"/>
    <w:rsid w:val="00755BDB"/>
    <w:rsid w:val="00756C0A"/>
    <w:rsid w:val="00760DAE"/>
    <w:rsid w:val="00764244"/>
    <w:rsid w:val="00770663"/>
    <w:rsid w:val="00770FEF"/>
    <w:rsid w:val="007721A5"/>
    <w:rsid w:val="00772C8D"/>
    <w:rsid w:val="00774ECA"/>
    <w:rsid w:val="00777141"/>
    <w:rsid w:val="007819A8"/>
    <w:rsid w:val="00781E53"/>
    <w:rsid w:val="00786840"/>
    <w:rsid w:val="00786CEF"/>
    <w:rsid w:val="00794FA0"/>
    <w:rsid w:val="007A0238"/>
    <w:rsid w:val="007A3E59"/>
    <w:rsid w:val="007A4D24"/>
    <w:rsid w:val="007A5133"/>
    <w:rsid w:val="007A7BF4"/>
    <w:rsid w:val="007C1F98"/>
    <w:rsid w:val="007C345E"/>
    <w:rsid w:val="007D1D4D"/>
    <w:rsid w:val="007D2422"/>
    <w:rsid w:val="007D389E"/>
    <w:rsid w:val="007D4232"/>
    <w:rsid w:val="007D53BF"/>
    <w:rsid w:val="007D7261"/>
    <w:rsid w:val="007E403A"/>
    <w:rsid w:val="007E5AD0"/>
    <w:rsid w:val="007E6A5D"/>
    <w:rsid w:val="007E7199"/>
    <w:rsid w:val="007E7802"/>
    <w:rsid w:val="007F05DD"/>
    <w:rsid w:val="007F2203"/>
    <w:rsid w:val="007F25B6"/>
    <w:rsid w:val="007F464B"/>
    <w:rsid w:val="007F4BB0"/>
    <w:rsid w:val="007F5CFF"/>
    <w:rsid w:val="007F6356"/>
    <w:rsid w:val="008046FE"/>
    <w:rsid w:val="008059AE"/>
    <w:rsid w:val="0080672E"/>
    <w:rsid w:val="00813C97"/>
    <w:rsid w:val="00816826"/>
    <w:rsid w:val="008170D4"/>
    <w:rsid w:val="00821778"/>
    <w:rsid w:val="00823401"/>
    <w:rsid w:val="00825760"/>
    <w:rsid w:val="00826759"/>
    <w:rsid w:val="00831801"/>
    <w:rsid w:val="00833302"/>
    <w:rsid w:val="0083493B"/>
    <w:rsid w:val="00836E5E"/>
    <w:rsid w:val="0084398B"/>
    <w:rsid w:val="00844961"/>
    <w:rsid w:val="00847589"/>
    <w:rsid w:val="0085056E"/>
    <w:rsid w:val="0085195F"/>
    <w:rsid w:val="00853239"/>
    <w:rsid w:val="008535BC"/>
    <w:rsid w:val="00857A87"/>
    <w:rsid w:val="00857CE8"/>
    <w:rsid w:val="00860AD6"/>
    <w:rsid w:val="00860DCB"/>
    <w:rsid w:val="008612CC"/>
    <w:rsid w:val="00861841"/>
    <w:rsid w:val="008736F3"/>
    <w:rsid w:val="0087565D"/>
    <w:rsid w:val="008765C7"/>
    <w:rsid w:val="0088089A"/>
    <w:rsid w:val="008848D1"/>
    <w:rsid w:val="00892971"/>
    <w:rsid w:val="00892D8E"/>
    <w:rsid w:val="00893340"/>
    <w:rsid w:val="008958C2"/>
    <w:rsid w:val="0089758A"/>
    <w:rsid w:val="00897E7C"/>
    <w:rsid w:val="008A3EC6"/>
    <w:rsid w:val="008A4940"/>
    <w:rsid w:val="008B4ACC"/>
    <w:rsid w:val="008C04D3"/>
    <w:rsid w:val="008C2FB1"/>
    <w:rsid w:val="008D0F2D"/>
    <w:rsid w:val="008D559B"/>
    <w:rsid w:val="008D649B"/>
    <w:rsid w:val="008D6B04"/>
    <w:rsid w:val="008E1C39"/>
    <w:rsid w:val="008E5304"/>
    <w:rsid w:val="008E77E0"/>
    <w:rsid w:val="008F0044"/>
    <w:rsid w:val="008F41F8"/>
    <w:rsid w:val="008F6C78"/>
    <w:rsid w:val="00900F49"/>
    <w:rsid w:val="009015A6"/>
    <w:rsid w:val="00904F56"/>
    <w:rsid w:val="00912727"/>
    <w:rsid w:val="00923A90"/>
    <w:rsid w:val="009242A8"/>
    <w:rsid w:val="00927A84"/>
    <w:rsid w:val="00930E8D"/>
    <w:rsid w:val="00931E76"/>
    <w:rsid w:val="009321D4"/>
    <w:rsid w:val="0093256A"/>
    <w:rsid w:val="00943066"/>
    <w:rsid w:val="00944078"/>
    <w:rsid w:val="009472A1"/>
    <w:rsid w:val="00950355"/>
    <w:rsid w:val="00950DBC"/>
    <w:rsid w:val="009515FE"/>
    <w:rsid w:val="00954DFB"/>
    <w:rsid w:val="009555CE"/>
    <w:rsid w:val="009605CE"/>
    <w:rsid w:val="00966BA2"/>
    <w:rsid w:val="00966C0D"/>
    <w:rsid w:val="00970AAC"/>
    <w:rsid w:val="00970B77"/>
    <w:rsid w:val="00970E96"/>
    <w:rsid w:val="00975867"/>
    <w:rsid w:val="009800B8"/>
    <w:rsid w:val="009812A3"/>
    <w:rsid w:val="0098257C"/>
    <w:rsid w:val="009832E4"/>
    <w:rsid w:val="009861DE"/>
    <w:rsid w:val="00986274"/>
    <w:rsid w:val="00987F42"/>
    <w:rsid w:val="0099173F"/>
    <w:rsid w:val="0099485A"/>
    <w:rsid w:val="00994B83"/>
    <w:rsid w:val="00995ED5"/>
    <w:rsid w:val="009969E0"/>
    <w:rsid w:val="00996EC4"/>
    <w:rsid w:val="009A1579"/>
    <w:rsid w:val="009B350D"/>
    <w:rsid w:val="009B48E4"/>
    <w:rsid w:val="009C182B"/>
    <w:rsid w:val="009C2113"/>
    <w:rsid w:val="009C3D9B"/>
    <w:rsid w:val="009C3E49"/>
    <w:rsid w:val="009C4F95"/>
    <w:rsid w:val="009C66F8"/>
    <w:rsid w:val="009C78AC"/>
    <w:rsid w:val="009C78AE"/>
    <w:rsid w:val="009D0608"/>
    <w:rsid w:val="009D0C93"/>
    <w:rsid w:val="009D247E"/>
    <w:rsid w:val="009D43EF"/>
    <w:rsid w:val="009D5132"/>
    <w:rsid w:val="009E15C2"/>
    <w:rsid w:val="009E3FE4"/>
    <w:rsid w:val="009E6B2A"/>
    <w:rsid w:val="009F1B6C"/>
    <w:rsid w:val="009F23A0"/>
    <w:rsid w:val="009F425C"/>
    <w:rsid w:val="009F54D3"/>
    <w:rsid w:val="00A00269"/>
    <w:rsid w:val="00A00A1E"/>
    <w:rsid w:val="00A01D6F"/>
    <w:rsid w:val="00A23589"/>
    <w:rsid w:val="00A248E3"/>
    <w:rsid w:val="00A27557"/>
    <w:rsid w:val="00A2788B"/>
    <w:rsid w:val="00A31AEC"/>
    <w:rsid w:val="00A3431F"/>
    <w:rsid w:val="00A357EA"/>
    <w:rsid w:val="00A37BD3"/>
    <w:rsid w:val="00A40646"/>
    <w:rsid w:val="00A5501D"/>
    <w:rsid w:val="00A550CB"/>
    <w:rsid w:val="00A55852"/>
    <w:rsid w:val="00A558D1"/>
    <w:rsid w:val="00A6026A"/>
    <w:rsid w:val="00A6043B"/>
    <w:rsid w:val="00A829AD"/>
    <w:rsid w:val="00A82D44"/>
    <w:rsid w:val="00A84EA2"/>
    <w:rsid w:val="00A862A9"/>
    <w:rsid w:val="00A91653"/>
    <w:rsid w:val="00A91706"/>
    <w:rsid w:val="00A92FB5"/>
    <w:rsid w:val="00AA4340"/>
    <w:rsid w:val="00AA4BDA"/>
    <w:rsid w:val="00AB0455"/>
    <w:rsid w:val="00AB1153"/>
    <w:rsid w:val="00AB3A40"/>
    <w:rsid w:val="00AB5C7B"/>
    <w:rsid w:val="00AC080A"/>
    <w:rsid w:val="00AC08A1"/>
    <w:rsid w:val="00AC141B"/>
    <w:rsid w:val="00AC22AA"/>
    <w:rsid w:val="00AC35D0"/>
    <w:rsid w:val="00AC5213"/>
    <w:rsid w:val="00AC6C1B"/>
    <w:rsid w:val="00AD1E92"/>
    <w:rsid w:val="00AD3D99"/>
    <w:rsid w:val="00AD6E7D"/>
    <w:rsid w:val="00AE582B"/>
    <w:rsid w:val="00AE6CD7"/>
    <w:rsid w:val="00AF3855"/>
    <w:rsid w:val="00B00953"/>
    <w:rsid w:val="00B027CE"/>
    <w:rsid w:val="00B032BD"/>
    <w:rsid w:val="00B045B6"/>
    <w:rsid w:val="00B06495"/>
    <w:rsid w:val="00B13229"/>
    <w:rsid w:val="00B141A8"/>
    <w:rsid w:val="00B146BD"/>
    <w:rsid w:val="00B15FBC"/>
    <w:rsid w:val="00B166C3"/>
    <w:rsid w:val="00B167F8"/>
    <w:rsid w:val="00B2028B"/>
    <w:rsid w:val="00B22CE4"/>
    <w:rsid w:val="00B27EE7"/>
    <w:rsid w:val="00B32422"/>
    <w:rsid w:val="00B32FFB"/>
    <w:rsid w:val="00B34041"/>
    <w:rsid w:val="00B37790"/>
    <w:rsid w:val="00B431D9"/>
    <w:rsid w:val="00B44D53"/>
    <w:rsid w:val="00B458B9"/>
    <w:rsid w:val="00B51746"/>
    <w:rsid w:val="00B52E10"/>
    <w:rsid w:val="00B5571A"/>
    <w:rsid w:val="00B70EBD"/>
    <w:rsid w:val="00B71E45"/>
    <w:rsid w:val="00B7394E"/>
    <w:rsid w:val="00B75B65"/>
    <w:rsid w:val="00B7632A"/>
    <w:rsid w:val="00B77927"/>
    <w:rsid w:val="00B8117C"/>
    <w:rsid w:val="00B8189E"/>
    <w:rsid w:val="00B84579"/>
    <w:rsid w:val="00B84932"/>
    <w:rsid w:val="00B878B4"/>
    <w:rsid w:val="00B9456C"/>
    <w:rsid w:val="00B94E89"/>
    <w:rsid w:val="00B95372"/>
    <w:rsid w:val="00BA16EC"/>
    <w:rsid w:val="00BA3458"/>
    <w:rsid w:val="00BA6A3D"/>
    <w:rsid w:val="00BB137E"/>
    <w:rsid w:val="00BB5993"/>
    <w:rsid w:val="00BC639D"/>
    <w:rsid w:val="00BC6AB0"/>
    <w:rsid w:val="00BC6EE9"/>
    <w:rsid w:val="00BD5A60"/>
    <w:rsid w:val="00BD6BBD"/>
    <w:rsid w:val="00BD79A2"/>
    <w:rsid w:val="00BE1899"/>
    <w:rsid w:val="00BE6CDC"/>
    <w:rsid w:val="00BF33AC"/>
    <w:rsid w:val="00BF3F6D"/>
    <w:rsid w:val="00BF524A"/>
    <w:rsid w:val="00C01EFB"/>
    <w:rsid w:val="00C0240A"/>
    <w:rsid w:val="00C03390"/>
    <w:rsid w:val="00C14D7D"/>
    <w:rsid w:val="00C25813"/>
    <w:rsid w:val="00C26CA2"/>
    <w:rsid w:val="00C360B8"/>
    <w:rsid w:val="00C36DA6"/>
    <w:rsid w:val="00C37507"/>
    <w:rsid w:val="00C45486"/>
    <w:rsid w:val="00C45B0C"/>
    <w:rsid w:val="00C519BA"/>
    <w:rsid w:val="00C53165"/>
    <w:rsid w:val="00C53453"/>
    <w:rsid w:val="00C54DEC"/>
    <w:rsid w:val="00C55E3A"/>
    <w:rsid w:val="00C612BE"/>
    <w:rsid w:val="00C620EA"/>
    <w:rsid w:val="00C64CC3"/>
    <w:rsid w:val="00C7564B"/>
    <w:rsid w:val="00C81A79"/>
    <w:rsid w:val="00C82B1D"/>
    <w:rsid w:val="00C83468"/>
    <w:rsid w:val="00C86170"/>
    <w:rsid w:val="00C87277"/>
    <w:rsid w:val="00C87AF5"/>
    <w:rsid w:val="00C9086F"/>
    <w:rsid w:val="00C9302B"/>
    <w:rsid w:val="00C9500F"/>
    <w:rsid w:val="00C95D1E"/>
    <w:rsid w:val="00CA03BD"/>
    <w:rsid w:val="00CA359E"/>
    <w:rsid w:val="00CA4272"/>
    <w:rsid w:val="00CA46E4"/>
    <w:rsid w:val="00CA7FBE"/>
    <w:rsid w:val="00CB073C"/>
    <w:rsid w:val="00CB20E7"/>
    <w:rsid w:val="00CB2E3E"/>
    <w:rsid w:val="00CB2EB1"/>
    <w:rsid w:val="00CB3430"/>
    <w:rsid w:val="00CB6910"/>
    <w:rsid w:val="00CC6491"/>
    <w:rsid w:val="00CC6F4D"/>
    <w:rsid w:val="00CD0A7E"/>
    <w:rsid w:val="00CD0FC0"/>
    <w:rsid w:val="00CD4189"/>
    <w:rsid w:val="00CE4C12"/>
    <w:rsid w:val="00CF1473"/>
    <w:rsid w:val="00CF5B0D"/>
    <w:rsid w:val="00D00762"/>
    <w:rsid w:val="00D03AEA"/>
    <w:rsid w:val="00D040A5"/>
    <w:rsid w:val="00D073FA"/>
    <w:rsid w:val="00D105F9"/>
    <w:rsid w:val="00D120F3"/>
    <w:rsid w:val="00D1609B"/>
    <w:rsid w:val="00D20608"/>
    <w:rsid w:val="00D25988"/>
    <w:rsid w:val="00D34A77"/>
    <w:rsid w:val="00D34AC5"/>
    <w:rsid w:val="00D35E01"/>
    <w:rsid w:val="00D41184"/>
    <w:rsid w:val="00D41E91"/>
    <w:rsid w:val="00D4734A"/>
    <w:rsid w:val="00D5454B"/>
    <w:rsid w:val="00D54F3C"/>
    <w:rsid w:val="00D55F72"/>
    <w:rsid w:val="00D56E05"/>
    <w:rsid w:val="00D61B5C"/>
    <w:rsid w:val="00D6275A"/>
    <w:rsid w:val="00D64CEA"/>
    <w:rsid w:val="00D65671"/>
    <w:rsid w:val="00D6623F"/>
    <w:rsid w:val="00D70ED9"/>
    <w:rsid w:val="00D74405"/>
    <w:rsid w:val="00D74455"/>
    <w:rsid w:val="00D74C0D"/>
    <w:rsid w:val="00D76E40"/>
    <w:rsid w:val="00D809A1"/>
    <w:rsid w:val="00D87156"/>
    <w:rsid w:val="00D873FF"/>
    <w:rsid w:val="00D87A74"/>
    <w:rsid w:val="00D87B97"/>
    <w:rsid w:val="00D92B04"/>
    <w:rsid w:val="00D97807"/>
    <w:rsid w:val="00DA0E01"/>
    <w:rsid w:val="00DA45B2"/>
    <w:rsid w:val="00DA7CF5"/>
    <w:rsid w:val="00DB1C21"/>
    <w:rsid w:val="00DB1EFF"/>
    <w:rsid w:val="00DB4817"/>
    <w:rsid w:val="00DB4C83"/>
    <w:rsid w:val="00DB51B2"/>
    <w:rsid w:val="00DC05A5"/>
    <w:rsid w:val="00DC381B"/>
    <w:rsid w:val="00DC4577"/>
    <w:rsid w:val="00DC78AE"/>
    <w:rsid w:val="00DD1D6A"/>
    <w:rsid w:val="00DD2DA5"/>
    <w:rsid w:val="00DD4141"/>
    <w:rsid w:val="00DE16E5"/>
    <w:rsid w:val="00DE38B6"/>
    <w:rsid w:val="00DE4085"/>
    <w:rsid w:val="00DF2787"/>
    <w:rsid w:val="00E00C04"/>
    <w:rsid w:val="00E0175C"/>
    <w:rsid w:val="00E01830"/>
    <w:rsid w:val="00E047C1"/>
    <w:rsid w:val="00E05F7E"/>
    <w:rsid w:val="00E061AC"/>
    <w:rsid w:val="00E07EB0"/>
    <w:rsid w:val="00E16875"/>
    <w:rsid w:val="00E222D0"/>
    <w:rsid w:val="00E2546A"/>
    <w:rsid w:val="00E27AE9"/>
    <w:rsid w:val="00E27BD6"/>
    <w:rsid w:val="00E308B7"/>
    <w:rsid w:val="00E31B84"/>
    <w:rsid w:val="00E35115"/>
    <w:rsid w:val="00E3755E"/>
    <w:rsid w:val="00E37BAB"/>
    <w:rsid w:val="00E408D5"/>
    <w:rsid w:val="00E43D6A"/>
    <w:rsid w:val="00E43E34"/>
    <w:rsid w:val="00E448B3"/>
    <w:rsid w:val="00E44D20"/>
    <w:rsid w:val="00E45639"/>
    <w:rsid w:val="00E4603F"/>
    <w:rsid w:val="00E46986"/>
    <w:rsid w:val="00E46CC4"/>
    <w:rsid w:val="00E46EAB"/>
    <w:rsid w:val="00E46EE8"/>
    <w:rsid w:val="00E4749D"/>
    <w:rsid w:val="00E47CB4"/>
    <w:rsid w:val="00E47EF9"/>
    <w:rsid w:val="00E500C2"/>
    <w:rsid w:val="00E52B2D"/>
    <w:rsid w:val="00E532C7"/>
    <w:rsid w:val="00E53757"/>
    <w:rsid w:val="00E56809"/>
    <w:rsid w:val="00E57127"/>
    <w:rsid w:val="00E635C3"/>
    <w:rsid w:val="00E65765"/>
    <w:rsid w:val="00E72B2A"/>
    <w:rsid w:val="00E730A0"/>
    <w:rsid w:val="00E74040"/>
    <w:rsid w:val="00E74568"/>
    <w:rsid w:val="00E801C8"/>
    <w:rsid w:val="00E808BB"/>
    <w:rsid w:val="00E81559"/>
    <w:rsid w:val="00E826C5"/>
    <w:rsid w:val="00E879D7"/>
    <w:rsid w:val="00E922A7"/>
    <w:rsid w:val="00E9247E"/>
    <w:rsid w:val="00E92D55"/>
    <w:rsid w:val="00E9597D"/>
    <w:rsid w:val="00E95B2B"/>
    <w:rsid w:val="00EA30E5"/>
    <w:rsid w:val="00EA61A3"/>
    <w:rsid w:val="00EB26AB"/>
    <w:rsid w:val="00EC4AA6"/>
    <w:rsid w:val="00EC4F98"/>
    <w:rsid w:val="00ED04E3"/>
    <w:rsid w:val="00ED06FC"/>
    <w:rsid w:val="00ED32BB"/>
    <w:rsid w:val="00ED442C"/>
    <w:rsid w:val="00ED7049"/>
    <w:rsid w:val="00EE0F43"/>
    <w:rsid w:val="00EE1384"/>
    <w:rsid w:val="00EE1CF2"/>
    <w:rsid w:val="00EE6751"/>
    <w:rsid w:val="00EF1D60"/>
    <w:rsid w:val="00EF1D8B"/>
    <w:rsid w:val="00EF2718"/>
    <w:rsid w:val="00EF758C"/>
    <w:rsid w:val="00F00FC2"/>
    <w:rsid w:val="00F015F9"/>
    <w:rsid w:val="00F02198"/>
    <w:rsid w:val="00F033B2"/>
    <w:rsid w:val="00F04BB5"/>
    <w:rsid w:val="00F04D53"/>
    <w:rsid w:val="00F07C40"/>
    <w:rsid w:val="00F1504D"/>
    <w:rsid w:val="00F2199F"/>
    <w:rsid w:val="00F229C0"/>
    <w:rsid w:val="00F25A0F"/>
    <w:rsid w:val="00F2725D"/>
    <w:rsid w:val="00F27CC5"/>
    <w:rsid w:val="00F313E5"/>
    <w:rsid w:val="00F317A8"/>
    <w:rsid w:val="00F31943"/>
    <w:rsid w:val="00F36702"/>
    <w:rsid w:val="00F4026F"/>
    <w:rsid w:val="00F510CF"/>
    <w:rsid w:val="00F51556"/>
    <w:rsid w:val="00F51C92"/>
    <w:rsid w:val="00F540EE"/>
    <w:rsid w:val="00F55CCC"/>
    <w:rsid w:val="00F568CE"/>
    <w:rsid w:val="00F664F3"/>
    <w:rsid w:val="00F6746F"/>
    <w:rsid w:val="00F67BA0"/>
    <w:rsid w:val="00F7299F"/>
    <w:rsid w:val="00F72CE0"/>
    <w:rsid w:val="00F72FB4"/>
    <w:rsid w:val="00F732C0"/>
    <w:rsid w:val="00F76318"/>
    <w:rsid w:val="00F83AD7"/>
    <w:rsid w:val="00F8466C"/>
    <w:rsid w:val="00F87D9B"/>
    <w:rsid w:val="00F91136"/>
    <w:rsid w:val="00FA19D1"/>
    <w:rsid w:val="00FA1D8C"/>
    <w:rsid w:val="00FA4397"/>
    <w:rsid w:val="00FA63D4"/>
    <w:rsid w:val="00FA7B6D"/>
    <w:rsid w:val="00FB0F74"/>
    <w:rsid w:val="00FB2459"/>
    <w:rsid w:val="00FB71B4"/>
    <w:rsid w:val="00FC1B3E"/>
    <w:rsid w:val="00FC3BC1"/>
    <w:rsid w:val="00FC403F"/>
    <w:rsid w:val="00FC7D6C"/>
    <w:rsid w:val="00FD50E9"/>
    <w:rsid w:val="00FE268B"/>
    <w:rsid w:val="00FE5143"/>
    <w:rsid w:val="00FE7591"/>
    <w:rsid w:val="00FF13AE"/>
    <w:rsid w:val="00FF153E"/>
    <w:rsid w:val="00FF1A4E"/>
    <w:rsid w:val="00FF3A71"/>
    <w:rsid w:val="00FF4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f448e,#ebe0f0,#e6d8ec,#e1d0e8"/>
    </o:shapedefaults>
    <o:shapelayout v:ext="edit">
      <o:idmap v:ext="edit" data="1"/>
    </o:shapelayout>
  </w:shapeDefaults>
  <w:decimalSymbol w:val="."/>
  <w:listSeparator w:val=","/>
  <w14:docId w14:val="5730AFCD"/>
  <w15:docId w15:val="{EC9A5499-8B54-4ED0-B383-DBC319D5F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64CEA"/>
  </w:style>
  <w:style w:type="paragraph" w:styleId="Heading1">
    <w:name w:val="heading 1"/>
    <w:basedOn w:val="Normal"/>
    <w:next w:val="Normal"/>
    <w:link w:val="Heading1Char"/>
    <w:uiPriority w:val="9"/>
    <w:qFormat/>
    <w:rsid w:val="007F5C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4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742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11A2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D040A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B1EFF"/>
    <w:pPr>
      <w:spacing w:after="0" w:line="240" w:lineRule="auto"/>
    </w:pPr>
    <w:rPr>
      <w:rFonts w:eastAsiaTheme="minorEastAsia"/>
    </w:rPr>
  </w:style>
  <w:style w:type="character" w:customStyle="1" w:styleId="NoSpacingChar">
    <w:name w:val="No Spacing Char"/>
    <w:basedOn w:val="DefaultParagraphFont"/>
    <w:link w:val="NoSpacing"/>
    <w:uiPriority w:val="1"/>
    <w:rsid w:val="00DB1EFF"/>
    <w:rPr>
      <w:rFonts w:eastAsiaTheme="minorEastAsia"/>
    </w:rPr>
  </w:style>
  <w:style w:type="paragraph" w:styleId="BalloonText">
    <w:name w:val="Balloon Text"/>
    <w:basedOn w:val="Normal"/>
    <w:link w:val="BalloonTextChar"/>
    <w:uiPriority w:val="99"/>
    <w:semiHidden/>
    <w:unhideWhenUsed/>
    <w:rsid w:val="00DB1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FF"/>
    <w:rPr>
      <w:rFonts w:ascii="Tahoma" w:hAnsi="Tahoma" w:cs="Tahoma"/>
      <w:sz w:val="16"/>
      <w:szCs w:val="16"/>
    </w:rPr>
  </w:style>
  <w:style w:type="paragraph" w:customStyle="1" w:styleId="Default">
    <w:name w:val="Default"/>
    <w:rsid w:val="00060677"/>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7F5C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CFF"/>
  </w:style>
  <w:style w:type="paragraph" w:styleId="Footer">
    <w:name w:val="footer"/>
    <w:basedOn w:val="Normal"/>
    <w:link w:val="FooterChar"/>
    <w:uiPriority w:val="99"/>
    <w:unhideWhenUsed/>
    <w:rsid w:val="007F5C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CFF"/>
  </w:style>
  <w:style w:type="character" w:customStyle="1" w:styleId="Heading1Char">
    <w:name w:val="Heading 1 Char"/>
    <w:basedOn w:val="DefaultParagraphFont"/>
    <w:link w:val="Heading1"/>
    <w:uiPriority w:val="99"/>
    <w:rsid w:val="007F5C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F5CFF"/>
    <w:pPr>
      <w:outlineLvl w:val="9"/>
    </w:pPr>
  </w:style>
  <w:style w:type="paragraph" w:styleId="TOC1">
    <w:name w:val="toc 1"/>
    <w:basedOn w:val="Normal"/>
    <w:next w:val="Normal"/>
    <w:autoRedefine/>
    <w:uiPriority w:val="39"/>
    <w:unhideWhenUsed/>
    <w:rsid w:val="007F5CFF"/>
    <w:pPr>
      <w:spacing w:after="100"/>
    </w:pPr>
  </w:style>
  <w:style w:type="character" w:styleId="Hyperlink">
    <w:name w:val="Hyperlink"/>
    <w:basedOn w:val="DefaultParagraphFont"/>
    <w:uiPriority w:val="99"/>
    <w:unhideWhenUsed/>
    <w:rsid w:val="007F5CFF"/>
    <w:rPr>
      <w:color w:val="0000FF" w:themeColor="hyperlink"/>
      <w:u w:val="single"/>
    </w:rPr>
  </w:style>
  <w:style w:type="character" w:customStyle="1" w:styleId="Heading2Char">
    <w:name w:val="Heading 2 Char"/>
    <w:basedOn w:val="DefaultParagraphFont"/>
    <w:link w:val="Heading2"/>
    <w:uiPriority w:val="9"/>
    <w:rsid w:val="00AA43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91706"/>
    <w:pPr>
      <w:spacing w:after="100"/>
      <w:ind w:left="220"/>
    </w:pPr>
  </w:style>
  <w:style w:type="paragraph" w:styleId="ListParagraph">
    <w:name w:val="List Paragraph"/>
    <w:basedOn w:val="Normal"/>
    <w:uiPriority w:val="99"/>
    <w:qFormat/>
    <w:rsid w:val="000E56F3"/>
    <w:pPr>
      <w:ind w:left="720"/>
      <w:contextualSpacing/>
    </w:pPr>
  </w:style>
  <w:style w:type="table" w:styleId="TableGrid">
    <w:name w:val="Table Grid"/>
    <w:basedOn w:val="TableNormal"/>
    <w:uiPriority w:val="59"/>
    <w:rsid w:val="000F6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37656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BodyText3">
    <w:name w:val="Body Text 3"/>
    <w:basedOn w:val="Default"/>
    <w:next w:val="Default"/>
    <w:link w:val="BodyText3Char"/>
    <w:uiPriority w:val="99"/>
    <w:rsid w:val="001D17FF"/>
    <w:rPr>
      <w:rFonts w:ascii="Times New Roman" w:hAnsi="Times New Roman" w:cs="Times New Roman"/>
      <w:color w:val="auto"/>
    </w:rPr>
  </w:style>
  <w:style w:type="character" w:customStyle="1" w:styleId="BodyText3Char">
    <w:name w:val="Body Text 3 Char"/>
    <w:basedOn w:val="DefaultParagraphFont"/>
    <w:link w:val="BodyText3"/>
    <w:uiPriority w:val="99"/>
    <w:rsid w:val="001D17FF"/>
    <w:rPr>
      <w:rFonts w:ascii="Times New Roman" w:hAnsi="Times New Roman" w:cs="Times New Roman"/>
      <w:sz w:val="24"/>
      <w:szCs w:val="24"/>
    </w:rPr>
  </w:style>
  <w:style w:type="paragraph" w:styleId="PlainText">
    <w:name w:val="Plain Text"/>
    <w:basedOn w:val="Normal"/>
    <w:link w:val="PlainTextChar"/>
    <w:rsid w:val="00306959"/>
    <w:pPr>
      <w:spacing w:after="0" w:line="240" w:lineRule="auto"/>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uiPriority w:val="99"/>
    <w:rsid w:val="00306959"/>
    <w:rPr>
      <w:rFonts w:ascii="Courier New" w:eastAsia="Times New Roman" w:hAnsi="Courier New" w:cs="Courier New"/>
      <w:color w:val="000000"/>
      <w:sz w:val="20"/>
      <w:szCs w:val="20"/>
    </w:rPr>
  </w:style>
  <w:style w:type="paragraph" w:styleId="HTMLPreformatted">
    <w:name w:val="HTML Preformatted"/>
    <w:basedOn w:val="Normal"/>
    <w:link w:val="HTMLPreformattedChar"/>
    <w:rsid w:val="00306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PreformattedChar">
    <w:name w:val="HTML Preformatted Char"/>
    <w:basedOn w:val="DefaultParagraphFont"/>
    <w:link w:val="HTMLPreformatted"/>
    <w:rsid w:val="00306959"/>
    <w:rPr>
      <w:rFonts w:ascii="Arial Unicode MS" w:eastAsia="Arial Unicode MS" w:hAnsi="Arial Unicode MS" w:cs="Arial Unicode MS"/>
      <w:color w:val="000000"/>
      <w:sz w:val="20"/>
      <w:szCs w:val="20"/>
    </w:rPr>
  </w:style>
  <w:style w:type="paragraph" w:styleId="NormalWeb">
    <w:name w:val="Normal (Web)"/>
    <w:basedOn w:val="Normal"/>
    <w:uiPriority w:val="99"/>
    <w:rsid w:val="00966BA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mniPage25">
    <w:name w:val="OmniPage #25"/>
    <w:basedOn w:val="Default"/>
    <w:next w:val="Default"/>
    <w:uiPriority w:val="99"/>
    <w:rsid w:val="00B32422"/>
    <w:rPr>
      <w:rFonts w:ascii="Times New Roman" w:eastAsia="Calibri" w:hAnsi="Times New Roman" w:cs="Times New Roman"/>
      <w:color w:val="auto"/>
    </w:rPr>
  </w:style>
  <w:style w:type="character" w:customStyle="1" w:styleId="Heading3Char">
    <w:name w:val="Heading 3 Char"/>
    <w:basedOn w:val="DefaultParagraphFont"/>
    <w:link w:val="Heading3"/>
    <w:uiPriority w:val="9"/>
    <w:rsid w:val="0037423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A100F"/>
    <w:pPr>
      <w:spacing w:after="100"/>
      <w:ind w:left="440"/>
    </w:pPr>
  </w:style>
  <w:style w:type="character" w:styleId="Strong">
    <w:name w:val="Strong"/>
    <w:basedOn w:val="DefaultParagraphFont"/>
    <w:uiPriority w:val="22"/>
    <w:qFormat/>
    <w:rsid w:val="00674FD3"/>
    <w:rPr>
      <w:b/>
      <w:bCs/>
    </w:rPr>
  </w:style>
  <w:style w:type="character" w:styleId="Emphasis">
    <w:name w:val="Emphasis"/>
    <w:basedOn w:val="DefaultParagraphFont"/>
    <w:uiPriority w:val="20"/>
    <w:qFormat/>
    <w:rsid w:val="00674FD3"/>
    <w:rPr>
      <w:i/>
      <w:iCs/>
    </w:rPr>
  </w:style>
  <w:style w:type="paragraph" w:customStyle="1" w:styleId="Normal1">
    <w:name w:val="Normal+1"/>
    <w:basedOn w:val="Default"/>
    <w:next w:val="Default"/>
    <w:uiPriority w:val="99"/>
    <w:rsid w:val="00251D4C"/>
    <w:rPr>
      <w:rFonts w:ascii="Times New Roman" w:hAnsi="Times New Roman" w:cs="Times New Roman"/>
      <w:color w:val="auto"/>
    </w:rPr>
  </w:style>
  <w:style w:type="paragraph" w:customStyle="1" w:styleId="L1instructBulletNSPS">
    <w:name w:val="L1instructBullet NSPS"/>
    <w:basedOn w:val="BodyText"/>
    <w:rsid w:val="00427B33"/>
    <w:pPr>
      <w:spacing w:before="120" w:after="240" w:line="240" w:lineRule="auto"/>
    </w:pPr>
    <w:rPr>
      <w:rFonts w:ascii="Garamond" w:eastAsia="Times New Roman" w:hAnsi="Garamond" w:cs="Times New Roman"/>
      <w:sz w:val="24"/>
      <w:szCs w:val="20"/>
    </w:rPr>
  </w:style>
  <w:style w:type="paragraph" w:styleId="BodyText">
    <w:name w:val="Body Text"/>
    <w:basedOn w:val="Normal"/>
    <w:link w:val="BodyTextChar"/>
    <w:uiPriority w:val="99"/>
    <w:unhideWhenUsed/>
    <w:rsid w:val="00427B33"/>
    <w:pPr>
      <w:spacing w:after="120"/>
    </w:pPr>
  </w:style>
  <w:style w:type="character" w:customStyle="1" w:styleId="BodyTextChar">
    <w:name w:val="Body Text Char"/>
    <w:basedOn w:val="DefaultParagraphFont"/>
    <w:link w:val="BodyText"/>
    <w:uiPriority w:val="99"/>
    <w:rsid w:val="00427B33"/>
  </w:style>
  <w:style w:type="character" w:customStyle="1" w:styleId="Heading8Char">
    <w:name w:val="Heading 8 Char"/>
    <w:basedOn w:val="DefaultParagraphFont"/>
    <w:link w:val="Heading8"/>
    <w:uiPriority w:val="9"/>
    <w:semiHidden/>
    <w:rsid w:val="00D040A5"/>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uiPriority w:val="9"/>
    <w:semiHidden/>
    <w:rsid w:val="00211A2C"/>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unhideWhenUsed/>
    <w:rsid w:val="00682077"/>
    <w:pPr>
      <w:spacing w:after="120"/>
      <w:ind w:left="360"/>
    </w:pPr>
  </w:style>
  <w:style w:type="character" w:customStyle="1" w:styleId="BodyTextIndentChar">
    <w:name w:val="Body Text Indent Char"/>
    <w:basedOn w:val="DefaultParagraphFont"/>
    <w:link w:val="BodyTextIndent"/>
    <w:uiPriority w:val="99"/>
    <w:rsid w:val="00682077"/>
  </w:style>
  <w:style w:type="table" w:customStyle="1" w:styleId="MediumShading1-Accent11">
    <w:name w:val="Medium Shading 1 - Accent 11"/>
    <w:basedOn w:val="TableNormal"/>
    <w:uiPriority w:val="63"/>
    <w:rsid w:val="000978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215B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rsid w:val="00E222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3004">
      <w:bodyDiv w:val="1"/>
      <w:marLeft w:val="0"/>
      <w:marRight w:val="0"/>
      <w:marTop w:val="0"/>
      <w:marBottom w:val="0"/>
      <w:divBdr>
        <w:top w:val="none" w:sz="0" w:space="0" w:color="auto"/>
        <w:left w:val="none" w:sz="0" w:space="0" w:color="auto"/>
        <w:bottom w:val="none" w:sz="0" w:space="0" w:color="auto"/>
        <w:right w:val="none" w:sz="0" w:space="0" w:color="auto"/>
      </w:divBdr>
      <w:divsChild>
        <w:div w:id="1126658386">
          <w:marLeft w:val="274"/>
          <w:marRight w:val="0"/>
          <w:marTop w:val="0"/>
          <w:marBottom w:val="0"/>
          <w:divBdr>
            <w:top w:val="none" w:sz="0" w:space="0" w:color="auto"/>
            <w:left w:val="none" w:sz="0" w:space="0" w:color="auto"/>
            <w:bottom w:val="none" w:sz="0" w:space="0" w:color="auto"/>
            <w:right w:val="none" w:sz="0" w:space="0" w:color="auto"/>
          </w:divBdr>
        </w:div>
        <w:div w:id="140931116">
          <w:marLeft w:val="360"/>
          <w:marRight w:val="0"/>
          <w:marTop w:val="0"/>
          <w:marBottom w:val="0"/>
          <w:divBdr>
            <w:top w:val="none" w:sz="0" w:space="0" w:color="auto"/>
            <w:left w:val="none" w:sz="0" w:space="0" w:color="auto"/>
            <w:bottom w:val="none" w:sz="0" w:space="0" w:color="auto"/>
            <w:right w:val="none" w:sz="0" w:space="0" w:color="auto"/>
          </w:divBdr>
        </w:div>
      </w:divsChild>
    </w:div>
    <w:div w:id="48959926">
      <w:bodyDiv w:val="1"/>
      <w:marLeft w:val="0"/>
      <w:marRight w:val="0"/>
      <w:marTop w:val="0"/>
      <w:marBottom w:val="0"/>
      <w:divBdr>
        <w:top w:val="none" w:sz="0" w:space="0" w:color="auto"/>
        <w:left w:val="none" w:sz="0" w:space="0" w:color="auto"/>
        <w:bottom w:val="none" w:sz="0" w:space="0" w:color="auto"/>
        <w:right w:val="none" w:sz="0" w:space="0" w:color="auto"/>
      </w:divBdr>
      <w:divsChild>
        <w:div w:id="251856558">
          <w:marLeft w:val="547"/>
          <w:marRight w:val="0"/>
          <w:marTop w:val="58"/>
          <w:marBottom w:val="0"/>
          <w:divBdr>
            <w:top w:val="none" w:sz="0" w:space="0" w:color="auto"/>
            <w:left w:val="none" w:sz="0" w:space="0" w:color="auto"/>
            <w:bottom w:val="none" w:sz="0" w:space="0" w:color="auto"/>
            <w:right w:val="none" w:sz="0" w:space="0" w:color="auto"/>
          </w:divBdr>
        </w:div>
        <w:div w:id="1392339346">
          <w:marLeft w:val="547"/>
          <w:marRight w:val="0"/>
          <w:marTop w:val="58"/>
          <w:marBottom w:val="0"/>
          <w:divBdr>
            <w:top w:val="none" w:sz="0" w:space="0" w:color="auto"/>
            <w:left w:val="none" w:sz="0" w:space="0" w:color="auto"/>
            <w:bottom w:val="none" w:sz="0" w:space="0" w:color="auto"/>
            <w:right w:val="none" w:sz="0" w:space="0" w:color="auto"/>
          </w:divBdr>
        </w:div>
        <w:div w:id="670062612">
          <w:marLeft w:val="547"/>
          <w:marRight w:val="0"/>
          <w:marTop w:val="58"/>
          <w:marBottom w:val="0"/>
          <w:divBdr>
            <w:top w:val="none" w:sz="0" w:space="0" w:color="auto"/>
            <w:left w:val="none" w:sz="0" w:space="0" w:color="auto"/>
            <w:bottom w:val="none" w:sz="0" w:space="0" w:color="auto"/>
            <w:right w:val="none" w:sz="0" w:space="0" w:color="auto"/>
          </w:divBdr>
        </w:div>
        <w:div w:id="137111969">
          <w:marLeft w:val="547"/>
          <w:marRight w:val="0"/>
          <w:marTop w:val="58"/>
          <w:marBottom w:val="0"/>
          <w:divBdr>
            <w:top w:val="none" w:sz="0" w:space="0" w:color="auto"/>
            <w:left w:val="none" w:sz="0" w:space="0" w:color="auto"/>
            <w:bottom w:val="none" w:sz="0" w:space="0" w:color="auto"/>
            <w:right w:val="none" w:sz="0" w:space="0" w:color="auto"/>
          </w:divBdr>
        </w:div>
        <w:div w:id="620646737">
          <w:marLeft w:val="547"/>
          <w:marRight w:val="0"/>
          <w:marTop w:val="58"/>
          <w:marBottom w:val="0"/>
          <w:divBdr>
            <w:top w:val="none" w:sz="0" w:space="0" w:color="auto"/>
            <w:left w:val="none" w:sz="0" w:space="0" w:color="auto"/>
            <w:bottom w:val="none" w:sz="0" w:space="0" w:color="auto"/>
            <w:right w:val="none" w:sz="0" w:space="0" w:color="auto"/>
          </w:divBdr>
        </w:div>
        <w:div w:id="516232450">
          <w:marLeft w:val="547"/>
          <w:marRight w:val="0"/>
          <w:marTop w:val="58"/>
          <w:marBottom w:val="0"/>
          <w:divBdr>
            <w:top w:val="none" w:sz="0" w:space="0" w:color="auto"/>
            <w:left w:val="none" w:sz="0" w:space="0" w:color="auto"/>
            <w:bottom w:val="none" w:sz="0" w:space="0" w:color="auto"/>
            <w:right w:val="none" w:sz="0" w:space="0" w:color="auto"/>
          </w:divBdr>
        </w:div>
        <w:div w:id="68886502">
          <w:marLeft w:val="547"/>
          <w:marRight w:val="0"/>
          <w:marTop w:val="58"/>
          <w:marBottom w:val="0"/>
          <w:divBdr>
            <w:top w:val="none" w:sz="0" w:space="0" w:color="auto"/>
            <w:left w:val="none" w:sz="0" w:space="0" w:color="auto"/>
            <w:bottom w:val="none" w:sz="0" w:space="0" w:color="auto"/>
            <w:right w:val="none" w:sz="0" w:space="0" w:color="auto"/>
          </w:divBdr>
        </w:div>
        <w:div w:id="1228033698">
          <w:marLeft w:val="547"/>
          <w:marRight w:val="0"/>
          <w:marTop w:val="58"/>
          <w:marBottom w:val="0"/>
          <w:divBdr>
            <w:top w:val="none" w:sz="0" w:space="0" w:color="auto"/>
            <w:left w:val="none" w:sz="0" w:space="0" w:color="auto"/>
            <w:bottom w:val="none" w:sz="0" w:space="0" w:color="auto"/>
            <w:right w:val="none" w:sz="0" w:space="0" w:color="auto"/>
          </w:divBdr>
        </w:div>
        <w:div w:id="726534838">
          <w:marLeft w:val="547"/>
          <w:marRight w:val="0"/>
          <w:marTop w:val="58"/>
          <w:marBottom w:val="0"/>
          <w:divBdr>
            <w:top w:val="none" w:sz="0" w:space="0" w:color="auto"/>
            <w:left w:val="none" w:sz="0" w:space="0" w:color="auto"/>
            <w:bottom w:val="none" w:sz="0" w:space="0" w:color="auto"/>
            <w:right w:val="none" w:sz="0" w:space="0" w:color="auto"/>
          </w:divBdr>
        </w:div>
      </w:divsChild>
    </w:div>
    <w:div w:id="56629513">
      <w:bodyDiv w:val="1"/>
      <w:marLeft w:val="0"/>
      <w:marRight w:val="0"/>
      <w:marTop w:val="0"/>
      <w:marBottom w:val="0"/>
      <w:divBdr>
        <w:top w:val="none" w:sz="0" w:space="0" w:color="auto"/>
        <w:left w:val="none" w:sz="0" w:space="0" w:color="auto"/>
        <w:bottom w:val="none" w:sz="0" w:space="0" w:color="auto"/>
        <w:right w:val="none" w:sz="0" w:space="0" w:color="auto"/>
      </w:divBdr>
    </w:div>
    <w:div w:id="83308931">
      <w:bodyDiv w:val="1"/>
      <w:marLeft w:val="0"/>
      <w:marRight w:val="0"/>
      <w:marTop w:val="0"/>
      <w:marBottom w:val="0"/>
      <w:divBdr>
        <w:top w:val="none" w:sz="0" w:space="0" w:color="auto"/>
        <w:left w:val="none" w:sz="0" w:space="0" w:color="auto"/>
        <w:bottom w:val="none" w:sz="0" w:space="0" w:color="auto"/>
        <w:right w:val="none" w:sz="0" w:space="0" w:color="auto"/>
      </w:divBdr>
    </w:div>
    <w:div w:id="87771312">
      <w:bodyDiv w:val="1"/>
      <w:marLeft w:val="0"/>
      <w:marRight w:val="0"/>
      <w:marTop w:val="0"/>
      <w:marBottom w:val="0"/>
      <w:divBdr>
        <w:top w:val="none" w:sz="0" w:space="0" w:color="auto"/>
        <w:left w:val="none" w:sz="0" w:space="0" w:color="auto"/>
        <w:bottom w:val="none" w:sz="0" w:space="0" w:color="auto"/>
        <w:right w:val="none" w:sz="0" w:space="0" w:color="auto"/>
      </w:divBdr>
      <w:divsChild>
        <w:div w:id="2145846588">
          <w:marLeft w:val="360"/>
          <w:marRight w:val="0"/>
          <w:marTop w:val="0"/>
          <w:marBottom w:val="0"/>
          <w:divBdr>
            <w:top w:val="none" w:sz="0" w:space="0" w:color="auto"/>
            <w:left w:val="none" w:sz="0" w:space="0" w:color="auto"/>
            <w:bottom w:val="none" w:sz="0" w:space="0" w:color="auto"/>
            <w:right w:val="none" w:sz="0" w:space="0" w:color="auto"/>
          </w:divBdr>
        </w:div>
        <w:div w:id="2027827330">
          <w:marLeft w:val="360"/>
          <w:marRight w:val="0"/>
          <w:marTop w:val="0"/>
          <w:marBottom w:val="0"/>
          <w:divBdr>
            <w:top w:val="none" w:sz="0" w:space="0" w:color="auto"/>
            <w:left w:val="none" w:sz="0" w:space="0" w:color="auto"/>
            <w:bottom w:val="none" w:sz="0" w:space="0" w:color="auto"/>
            <w:right w:val="none" w:sz="0" w:space="0" w:color="auto"/>
          </w:divBdr>
        </w:div>
      </w:divsChild>
    </w:div>
    <w:div w:id="154612277">
      <w:bodyDiv w:val="1"/>
      <w:marLeft w:val="0"/>
      <w:marRight w:val="0"/>
      <w:marTop w:val="0"/>
      <w:marBottom w:val="0"/>
      <w:divBdr>
        <w:top w:val="none" w:sz="0" w:space="0" w:color="auto"/>
        <w:left w:val="none" w:sz="0" w:space="0" w:color="auto"/>
        <w:bottom w:val="none" w:sz="0" w:space="0" w:color="auto"/>
        <w:right w:val="none" w:sz="0" w:space="0" w:color="auto"/>
      </w:divBdr>
    </w:div>
    <w:div w:id="207953694">
      <w:bodyDiv w:val="1"/>
      <w:marLeft w:val="0"/>
      <w:marRight w:val="0"/>
      <w:marTop w:val="0"/>
      <w:marBottom w:val="0"/>
      <w:divBdr>
        <w:top w:val="none" w:sz="0" w:space="0" w:color="auto"/>
        <w:left w:val="none" w:sz="0" w:space="0" w:color="auto"/>
        <w:bottom w:val="none" w:sz="0" w:space="0" w:color="auto"/>
        <w:right w:val="none" w:sz="0" w:space="0" w:color="auto"/>
      </w:divBdr>
    </w:div>
    <w:div w:id="321930998">
      <w:bodyDiv w:val="1"/>
      <w:marLeft w:val="0"/>
      <w:marRight w:val="0"/>
      <w:marTop w:val="0"/>
      <w:marBottom w:val="0"/>
      <w:divBdr>
        <w:top w:val="none" w:sz="0" w:space="0" w:color="auto"/>
        <w:left w:val="none" w:sz="0" w:space="0" w:color="auto"/>
        <w:bottom w:val="none" w:sz="0" w:space="0" w:color="auto"/>
        <w:right w:val="none" w:sz="0" w:space="0" w:color="auto"/>
      </w:divBdr>
    </w:div>
    <w:div w:id="334846149">
      <w:bodyDiv w:val="1"/>
      <w:marLeft w:val="0"/>
      <w:marRight w:val="0"/>
      <w:marTop w:val="0"/>
      <w:marBottom w:val="0"/>
      <w:divBdr>
        <w:top w:val="none" w:sz="0" w:space="0" w:color="auto"/>
        <w:left w:val="none" w:sz="0" w:space="0" w:color="auto"/>
        <w:bottom w:val="none" w:sz="0" w:space="0" w:color="auto"/>
        <w:right w:val="none" w:sz="0" w:space="0" w:color="auto"/>
      </w:divBdr>
      <w:divsChild>
        <w:div w:id="1244796490">
          <w:marLeft w:val="547"/>
          <w:marRight w:val="0"/>
          <w:marTop w:val="115"/>
          <w:marBottom w:val="0"/>
          <w:divBdr>
            <w:top w:val="none" w:sz="0" w:space="0" w:color="auto"/>
            <w:left w:val="none" w:sz="0" w:space="0" w:color="auto"/>
            <w:bottom w:val="none" w:sz="0" w:space="0" w:color="auto"/>
            <w:right w:val="none" w:sz="0" w:space="0" w:color="auto"/>
          </w:divBdr>
        </w:div>
        <w:div w:id="851408678">
          <w:marLeft w:val="1166"/>
          <w:marRight w:val="0"/>
          <w:marTop w:val="96"/>
          <w:marBottom w:val="0"/>
          <w:divBdr>
            <w:top w:val="none" w:sz="0" w:space="0" w:color="auto"/>
            <w:left w:val="none" w:sz="0" w:space="0" w:color="auto"/>
            <w:bottom w:val="none" w:sz="0" w:space="0" w:color="auto"/>
            <w:right w:val="none" w:sz="0" w:space="0" w:color="auto"/>
          </w:divBdr>
        </w:div>
        <w:div w:id="166794658">
          <w:marLeft w:val="1166"/>
          <w:marRight w:val="0"/>
          <w:marTop w:val="96"/>
          <w:marBottom w:val="0"/>
          <w:divBdr>
            <w:top w:val="none" w:sz="0" w:space="0" w:color="auto"/>
            <w:left w:val="none" w:sz="0" w:space="0" w:color="auto"/>
            <w:bottom w:val="none" w:sz="0" w:space="0" w:color="auto"/>
            <w:right w:val="none" w:sz="0" w:space="0" w:color="auto"/>
          </w:divBdr>
        </w:div>
        <w:div w:id="1939019931">
          <w:marLeft w:val="1166"/>
          <w:marRight w:val="0"/>
          <w:marTop w:val="96"/>
          <w:marBottom w:val="0"/>
          <w:divBdr>
            <w:top w:val="none" w:sz="0" w:space="0" w:color="auto"/>
            <w:left w:val="none" w:sz="0" w:space="0" w:color="auto"/>
            <w:bottom w:val="none" w:sz="0" w:space="0" w:color="auto"/>
            <w:right w:val="none" w:sz="0" w:space="0" w:color="auto"/>
          </w:divBdr>
        </w:div>
      </w:divsChild>
    </w:div>
    <w:div w:id="338897155">
      <w:bodyDiv w:val="1"/>
      <w:marLeft w:val="0"/>
      <w:marRight w:val="0"/>
      <w:marTop w:val="0"/>
      <w:marBottom w:val="0"/>
      <w:divBdr>
        <w:top w:val="none" w:sz="0" w:space="0" w:color="auto"/>
        <w:left w:val="none" w:sz="0" w:space="0" w:color="auto"/>
        <w:bottom w:val="none" w:sz="0" w:space="0" w:color="auto"/>
        <w:right w:val="none" w:sz="0" w:space="0" w:color="auto"/>
      </w:divBdr>
    </w:div>
    <w:div w:id="353843883">
      <w:bodyDiv w:val="1"/>
      <w:marLeft w:val="0"/>
      <w:marRight w:val="0"/>
      <w:marTop w:val="0"/>
      <w:marBottom w:val="0"/>
      <w:divBdr>
        <w:top w:val="none" w:sz="0" w:space="0" w:color="auto"/>
        <w:left w:val="none" w:sz="0" w:space="0" w:color="auto"/>
        <w:bottom w:val="none" w:sz="0" w:space="0" w:color="auto"/>
        <w:right w:val="none" w:sz="0" w:space="0" w:color="auto"/>
      </w:divBdr>
    </w:div>
    <w:div w:id="412356760">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6">
          <w:marLeft w:val="0"/>
          <w:marRight w:val="0"/>
          <w:marTop w:val="0"/>
          <w:marBottom w:val="0"/>
          <w:divBdr>
            <w:top w:val="none" w:sz="0" w:space="0" w:color="auto"/>
            <w:left w:val="none" w:sz="0" w:space="0" w:color="auto"/>
            <w:bottom w:val="none" w:sz="0" w:space="0" w:color="auto"/>
            <w:right w:val="none" w:sz="0" w:space="0" w:color="auto"/>
          </w:divBdr>
          <w:divsChild>
            <w:div w:id="455803389">
              <w:marLeft w:val="0"/>
              <w:marRight w:val="0"/>
              <w:marTop w:val="0"/>
              <w:marBottom w:val="0"/>
              <w:divBdr>
                <w:top w:val="none" w:sz="0" w:space="0" w:color="auto"/>
                <w:left w:val="none" w:sz="0" w:space="0" w:color="auto"/>
                <w:bottom w:val="none" w:sz="0" w:space="0" w:color="auto"/>
                <w:right w:val="none" w:sz="0" w:space="0" w:color="auto"/>
              </w:divBdr>
              <w:divsChild>
                <w:div w:id="15200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04418">
      <w:bodyDiv w:val="1"/>
      <w:marLeft w:val="0"/>
      <w:marRight w:val="0"/>
      <w:marTop w:val="0"/>
      <w:marBottom w:val="0"/>
      <w:divBdr>
        <w:top w:val="none" w:sz="0" w:space="0" w:color="auto"/>
        <w:left w:val="none" w:sz="0" w:space="0" w:color="auto"/>
        <w:bottom w:val="none" w:sz="0" w:space="0" w:color="auto"/>
        <w:right w:val="none" w:sz="0" w:space="0" w:color="auto"/>
      </w:divBdr>
    </w:div>
    <w:div w:id="454060528">
      <w:bodyDiv w:val="1"/>
      <w:marLeft w:val="0"/>
      <w:marRight w:val="0"/>
      <w:marTop w:val="0"/>
      <w:marBottom w:val="0"/>
      <w:divBdr>
        <w:top w:val="none" w:sz="0" w:space="0" w:color="auto"/>
        <w:left w:val="none" w:sz="0" w:space="0" w:color="auto"/>
        <w:bottom w:val="none" w:sz="0" w:space="0" w:color="auto"/>
        <w:right w:val="none" w:sz="0" w:space="0" w:color="auto"/>
      </w:divBdr>
      <w:divsChild>
        <w:div w:id="1795639265">
          <w:marLeft w:val="547"/>
          <w:marRight w:val="0"/>
          <w:marTop w:val="20"/>
          <w:marBottom w:val="0"/>
          <w:divBdr>
            <w:top w:val="none" w:sz="0" w:space="0" w:color="auto"/>
            <w:left w:val="none" w:sz="0" w:space="0" w:color="auto"/>
            <w:bottom w:val="none" w:sz="0" w:space="0" w:color="auto"/>
            <w:right w:val="none" w:sz="0" w:space="0" w:color="auto"/>
          </w:divBdr>
        </w:div>
        <w:div w:id="431555182">
          <w:marLeft w:val="547"/>
          <w:marRight w:val="0"/>
          <w:marTop w:val="20"/>
          <w:marBottom w:val="0"/>
          <w:divBdr>
            <w:top w:val="none" w:sz="0" w:space="0" w:color="auto"/>
            <w:left w:val="none" w:sz="0" w:space="0" w:color="auto"/>
            <w:bottom w:val="none" w:sz="0" w:space="0" w:color="auto"/>
            <w:right w:val="none" w:sz="0" w:space="0" w:color="auto"/>
          </w:divBdr>
        </w:div>
        <w:div w:id="1031881025">
          <w:marLeft w:val="547"/>
          <w:marRight w:val="0"/>
          <w:marTop w:val="20"/>
          <w:marBottom w:val="0"/>
          <w:divBdr>
            <w:top w:val="none" w:sz="0" w:space="0" w:color="auto"/>
            <w:left w:val="none" w:sz="0" w:space="0" w:color="auto"/>
            <w:bottom w:val="none" w:sz="0" w:space="0" w:color="auto"/>
            <w:right w:val="none" w:sz="0" w:space="0" w:color="auto"/>
          </w:divBdr>
        </w:div>
        <w:div w:id="95946894">
          <w:marLeft w:val="547"/>
          <w:marRight w:val="0"/>
          <w:marTop w:val="20"/>
          <w:marBottom w:val="0"/>
          <w:divBdr>
            <w:top w:val="none" w:sz="0" w:space="0" w:color="auto"/>
            <w:left w:val="none" w:sz="0" w:space="0" w:color="auto"/>
            <w:bottom w:val="none" w:sz="0" w:space="0" w:color="auto"/>
            <w:right w:val="none" w:sz="0" w:space="0" w:color="auto"/>
          </w:divBdr>
        </w:div>
        <w:div w:id="1067149123">
          <w:marLeft w:val="547"/>
          <w:marRight w:val="0"/>
          <w:marTop w:val="20"/>
          <w:marBottom w:val="0"/>
          <w:divBdr>
            <w:top w:val="none" w:sz="0" w:space="0" w:color="auto"/>
            <w:left w:val="none" w:sz="0" w:space="0" w:color="auto"/>
            <w:bottom w:val="none" w:sz="0" w:space="0" w:color="auto"/>
            <w:right w:val="none" w:sz="0" w:space="0" w:color="auto"/>
          </w:divBdr>
        </w:div>
        <w:div w:id="171065257">
          <w:marLeft w:val="547"/>
          <w:marRight w:val="0"/>
          <w:marTop w:val="20"/>
          <w:marBottom w:val="0"/>
          <w:divBdr>
            <w:top w:val="none" w:sz="0" w:space="0" w:color="auto"/>
            <w:left w:val="none" w:sz="0" w:space="0" w:color="auto"/>
            <w:bottom w:val="none" w:sz="0" w:space="0" w:color="auto"/>
            <w:right w:val="none" w:sz="0" w:space="0" w:color="auto"/>
          </w:divBdr>
        </w:div>
        <w:div w:id="1183934208">
          <w:marLeft w:val="547"/>
          <w:marRight w:val="0"/>
          <w:marTop w:val="20"/>
          <w:marBottom w:val="0"/>
          <w:divBdr>
            <w:top w:val="none" w:sz="0" w:space="0" w:color="auto"/>
            <w:left w:val="none" w:sz="0" w:space="0" w:color="auto"/>
            <w:bottom w:val="none" w:sz="0" w:space="0" w:color="auto"/>
            <w:right w:val="none" w:sz="0" w:space="0" w:color="auto"/>
          </w:divBdr>
        </w:div>
      </w:divsChild>
    </w:div>
    <w:div w:id="463230523">
      <w:bodyDiv w:val="1"/>
      <w:marLeft w:val="0"/>
      <w:marRight w:val="0"/>
      <w:marTop w:val="0"/>
      <w:marBottom w:val="0"/>
      <w:divBdr>
        <w:top w:val="none" w:sz="0" w:space="0" w:color="auto"/>
        <w:left w:val="none" w:sz="0" w:space="0" w:color="auto"/>
        <w:bottom w:val="none" w:sz="0" w:space="0" w:color="auto"/>
        <w:right w:val="none" w:sz="0" w:space="0" w:color="auto"/>
      </w:divBdr>
      <w:divsChild>
        <w:div w:id="1774669454">
          <w:marLeft w:val="547"/>
          <w:marRight w:val="0"/>
          <w:marTop w:val="115"/>
          <w:marBottom w:val="0"/>
          <w:divBdr>
            <w:top w:val="none" w:sz="0" w:space="0" w:color="auto"/>
            <w:left w:val="none" w:sz="0" w:space="0" w:color="auto"/>
            <w:bottom w:val="none" w:sz="0" w:space="0" w:color="auto"/>
            <w:right w:val="none" w:sz="0" w:space="0" w:color="auto"/>
          </w:divBdr>
        </w:div>
        <w:div w:id="702023240">
          <w:marLeft w:val="547"/>
          <w:marRight w:val="0"/>
          <w:marTop w:val="115"/>
          <w:marBottom w:val="0"/>
          <w:divBdr>
            <w:top w:val="none" w:sz="0" w:space="0" w:color="auto"/>
            <w:left w:val="none" w:sz="0" w:space="0" w:color="auto"/>
            <w:bottom w:val="none" w:sz="0" w:space="0" w:color="auto"/>
            <w:right w:val="none" w:sz="0" w:space="0" w:color="auto"/>
          </w:divBdr>
        </w:div>
        <w:div w:id="350033301">
          <w:marLeft w:val="547"/>
          <w:marRight w:val="0"/>
          <w:marTop w:val="115"/>
          <w:marBottom w:val="0"/>
          <w:divBdr>
            <w:top w:val="none" w:sz="0" w:space="0" w:color="auto"/>
            <w:left w:val="none" w:sz="0" w:space="0" w:color="auto"/>
            <w:bottom w:val="none" w:sz="0" w:space="0" w:color="auto"/>
            <w:right w:val="none" w:sz="0" w:space="0" w:color="auto"/>
          </w:divBdr>
        </w:div>
        <w:div w:id="1984502394">
          <w:marLeft w:val="547"/>
          <w:marRight w:val="0"/>
          <w:marTop w:val="115"/>
          <w:marBottom w:val="0"/>
          <w:divBdr>
            <w:top w:val="none" w:sz="0" w:space="0" w:color="auto"/>
            <w:left w:val="none" w:sz="0" w:space="0" w:color="auto"/>
            <w:bottom w:val="none" w:sz="0" w:space="0" w:color="auto"/>
            <w:right w:val="none" w:sz="0" w:space="0" w:color="auto"/>
          </w:divBdr>
        </w:div>
        <w:div w:id="1052921138">
          <w:marLeft w:val="547"/>
          <w:marRight w:val="0"/>
          <w:marTop w:val="115"/>
          <w:marBottom w:val="0"/>
          <w:divBdr>
            <w:top w:val="none" w:sz="0" w:space="0" w:color="auto"/>
            <w:left w:val="none" w:sz="0" w:space="0" w:color="auto"/>
            <w:bottom w:val="none" w:sz="0" w:space="0" w:color="auto"/>
            <w:right w:val="none" w:sz="0" w:space="0" w:color="auto"/>
          </w:divBdr>
        </w:div>
      </w:divsChild>
    </w:div>
    <w:div w:id="486826293">
      <w:bodyDiv w:val="1"/>
      <w:marLeft w:val="0"/>
      <w:marRight w:val="0"/>
      <w:marTop w:val="0"/>
      <w:marBottom w:val="0"/>
      <w:divBdr>
        <w:top w:val="none" w:sz="0" w:space="0" w:color="auto"/>
        <w:left w:val="none" w:sz="0" w:space="0" w:color="auto"/>
        <w:bottom w:val="none" w:sz="0" w:space="0" w:color="auto"/>
        <w:right w:val="none" w:sz="0" w:space="0" w:color="auto"/>
      </w:divBdr>
    </w:div>
    <w:div w:id="620843731">
      <w:bodyDiv w:val="1"/>
      <w:marLeft w:val="0"/>
      <w:marRight w:val="0"/>
      <w:marTop w:val="0"/>
      <w:marBottom w:val="0"/>
      <w:divBdr>
        <w:top w:val="none" w:sz="0" w:space="0" w:color="auto"/>
        <w:left w:val="none" w:sz="0" w:space="0" w:color="auto"/>
        <w:bottom w:val="none" w:sz="0" w:space="0" w:color="auto"/>
        <w:right w:val="none" w:sz="0" w:space="0" w:color="auto"/>
      </w:divBdr>
      <w:divsChild>
        <w:div w:id="2080709582">
          <w:marLeft w:val="274"/>
          <w:marRight w:val="0"/>
          <w:marTop w:val="0"/>
          <w:marBottom w:val="0"/>
          <w:divBdr>
            <w:top w:val="none" w:sz="0" w:space="0" w:color="auto"/>
            <w:left w:val="none" w:sz="0" w:space="0" w:color="auto"/>
            <w:bottom w:val="none" w:sz="0" w:space="0" w:color="auto"/>
            <w:right w:val="none" w:sz="0" w:space="0" w:color="auto"/>
          </w:divBdr>
        </w:div>
        <w:div w:id="611283365">
          <w:marLeft w:val="274"/>
          <w:marRight w:val="0"/>
          <w:marTop w:val="0"/>
          <w:marBottom w:val="0"/>
          <w:divBdr>
            <w:top w:val="none" w:sz="0" w:space="0" w:color="auto"/>
            <w:left w:val="none" w:sz="0" w:space="0" w:color="auto"/>
            <w:bottom w:val="none" w:sz="0" w:space="0" w:color="auto"/>
            <w:right w:val="none" w:sz="0" w:space="0" w:color="auto"/>
          </w:divBdr>
        </w:div>
        <w:div w:id="471404605">
          <w:marLeft w:val="274"/>
          <w:marRight w:val="0"/>
          <w:marTop w:val="0"/>
          <w:marBottom w:val="0"/>
          <w:divBdr>
            <w:top w:val="none" w:sz="0" w:space="0" w:color="auto"/>
            <w:left w:val="none" w:sz="0" w:space="0" w:color="auto"/>
            <w:bottom w:val="none" w:sz="0" w:space="0" w:color="auto"/>
            <w:right w:val="none" w:sz="0" w:space="0" w:color="auto"/>
          </w:divBdr>
        </w:div>
        <w:div w:id="1569539859">
          <w:marLeft w:val="274"/>
          <w:marRight w:val="0"/>
          <w:marTop w:val="0"/>
          <w:marBottom w:val="0"/>
          <w:divBdr>
            <w:top w:val="none" w:sz="0" w:space="0" w:color="auto"/>
            <w:left w:val="none" w:sz="0" w:space="0" w:color="auto"/>
            <w:bottom w:val="none" w:sz="0" w:space="0" w:color="auto"/>
            <w:right w:val="none" w:sz="0" w:space="0" w:color="auto"/>
          </w:divBdr>
        </w:div>
        <w:div w:id="1194459428">
          <w:marLeft w:val="274"/>
          <w:marRight w:val="0"/>
          <w:marTop w:val="0"/>
          <w:marBottom w:val="0"/>
          <w:divBdr>
            <w:top w:val="none" w:sz="0" w:space="0" w:color="auto"/>
            <w:left w:val="none" w:sz="0" w:space="0" w:color="auto"/>
            <w:bottom w:val="none" w:sz="0" w:space="0" w:color="auto"/>
            <w:right w:val="none" w:sz="0" w:space="0" w:color="auto"/>
          </w:divBdr>
        </w:div>
        <w:div w:id="707947582">
          <w:marLeft w:val="274"/>
          <w:marRight w:val="0"/>
          <w:marTop w:val="0"/>
          <w:marBottom w:val="0"/>
          <w:divBdr>
            <w:top w:val="none" w:sz="0" w:space="0" w:color="auto"/>
            <w:left w:val="none" w:sz="0" w:space="0" w:color="auto"/>
            <w:bottom w:val="none" w:sz="0" w:space="0" w:color="auto"/>
            <w:right w:val="none" w:sz="0" w:space="0" w:color="auto"/>
          </w:divBdr>
        </w:div>
      </w:divsChild>
    </w:div>
    <w:div w:id="639458758">
      <w:bodyDiv w:val="1"/>
      <w:marLeft w:val="0"/>
      <w:marRight w:val="0"/>
      <w:marTop w:val="0"/>
      <w:marBottom w:val="0"/>
      <w:divBdr>
        <w:top w:val="none" w:sz="0" w:space="0" w:color="auto"/>
        <w:left w:val="none" w:sz="0" w:space="0" w:color="auto"/>
        <w:bottom w:val="none" w:sz="0" w:space="0" w:color="auto"/>
        <w:right w:val="none" w:sz="0" w:space="0" w:color="auto"/>
      </w:divBdr>
    </w:div>
    <w:div w:id="646861206">
      <w:bodyDiv w:val="1"/>
      <w:marLeft w:val="0"/>
      <w:marRight w:val="0"/>
      <w:marTop w:val="0"/>
      <w:marBottom w:val="0"/>
      <w:divBdr>
        <w:top w:val="none" w:sz="0" w:space="0" w:color="auto"/>
        <w:left w:val="none" w:sz="0" w:space="0" w:color="auto"/>
        <w:bottom w:val="none" w:sz="0" w:space="0" w:color="auto"/>
        <w:right w:val="none" w:sz="0" w:space="0" w:color="auto"/>
      </w:divBdr>
    </w:div>
    <w:div w:id="663044448">
      <w:bodyDiv w:val="1"/>
      <w:marLeft w:val="0"/>
      <w:marRight w:val="0"/>
      <w:marTop w:val="0"/>
      <w:marBottom w:val="0"/>
      <w:divBdr>
        <w:top w:val="none" w:sz="0" w:space="0" w:color="auto"/>
        <w:left w:val="none" w:sz="0" w:space="0" w:color="auto"/>
        <w:bottom w:val="none" w:sz="0" w:space="0" w:color="auto"/>
        <w:right w:val="none" w:sz="0" w:space="0" w:color="auto"/>
      </w:divBdr>
    </w:div>
    <w:div w:id="733894147">
      <w:bodyDiv w:val="1"/>
      <w:marLeft w:val="0"/>
      <w:marRight w:val="0"/>
      <w:marTop w:val="0"/>
      <w:marBottom w:val="0"/>
      <w:divBdr>
        <w:top w:val="none" w:sz="0" w:space="0" w:color="auto"/>
        <w:left w:val="none" w:sz="0" w:space="0" w:color="auto"/>
        <w:bottom w:val="none" w:sz="0" w:space="0" w:color="auto"/>
        <w:right w:val="none" w:sz="0" w:space="0" w:color="auto"/>
      </w:divBdr>
    </w:div>
    <w:div w:id="761755064">
      <w:bodyDiv w:val="1"/>
      <w:marLeft w:val="0"/>
      <w:marRight w:val="0"/>
      <w:marTop w:val="0"/>
      <w:marBottom w:val="0"/>
      <w:divBdr>
        <w:top w:val="none" w:sz="0" w:space="0" w:color="auto"/>
        <w:left w:val="none" w:sz="0" w:space="0" w:color="auto"/>
        <w:bottom w:val="none" w:sz="0" w:space="0" w:color="auto"/>
        <w:right w:val="none" w:sz="0" w:space="0" w:color="auto"/>
      </w:divBdr>
      <w:divsChild>
        <w:div w:id="1239293508">
          <w:marLeft w:val="547"/>
          <w:marRight w:val="0"/>
          <w:marTop w:val="67"/>
          <w:marBottom w:val="0"/>
          <w:divBdr>
            <w:top w:val="none" w:sz="0" w:space="0" w:color="auto"/>
            <w:left w:val="none" w:sz="0" w:space="0" w:color="auto"/>
            <w:bottom w:val="none" w:sz="0" w:space="0" w:color="auto"/>
            <w:right w:val="none" w:sz="0" w:space="0" w:color="auto"/>
          </w:divBdr>
        </w:div>
        <w:div w:id="895238302">
          <w:marLeft w:val="547"/>
          <w:marRight w:val="0"/>
          <w:marTop w:val="67"/>
          <w:marBottom w:val="0"/>
          <w:divBdr>
            <w:top w:val="none" w:sz="0" w:space="0" w:color="auto"/>
            <w:left w:val="none" w:sz="0" w:space="0" w:color="auto"/>
            <w:bottom w:val="none" w:sz="0" w:space="0" w:color="auto"/>
            <w:right w:val="none" w:sz="0" w:space="0" w:color="auto"/>
          </w:divBdr>
        </w:div>
        <w:div w:id="253051389">
          <w:marLeft w:val="547"/>
          <w:marRight w:val="0"/>
          <w:marTop w:val="67"/>
          <w:marBottom w:val="0"/>
          <w:divBdr>
            <w:top w:val="none" w:sz="0" w:space="0" w:color="auto"/>
            <w:left w:val="none" w:sz="0" w:space="0" w:color="auto"/>
            <w:bottom w:val="none" w:sz="0" w:space="0" w:color="auto"/>
            <w:right w:val="none" w:sz="0" w:space="0" w:color="auto"/>
          </w:divBdr>
        </w:div>
        <w:div w:id="475873820">
          <w:marLeft w:val="547"/>
          <w:marRight w:val="0"/>
          <w:marTop w:val="67"/>
          <w:marBottom w:val="0"/>
          <w:divBdr>
            <w:top w:val="none" w:sz="0" w:space="0" w:color="auto"/>
            <w:left w:val="none" w:sz="0" w:space="0" w:color="auto"/>
            <w:bottom w:val="none" w:sz="0" w:space="0" w:color="auto"/>
            <w:right w:val="none" w:sz="0" w:space="0" w:color="auto"/>
          </w:divBdr>
        </w:div>
        <w:div w:id="1086731331">
          <w:marLeft w:val="547"/>
          <w:marRight w:val="0"/>
          <w:marTop w:val="67"/>
          <w:marBottom w:val="0"/>
          <w:divBdr>
            <w:top w:val="none" w:sz="0" w:space="0" w:color="auto"/>
            <w:left w:val="none" w:sz="0" w:space="0" w:color="auto"/>
            <w:bottom w:val="none" w:sz="0" w:space="0" w:color="auto"/>
            <w:right w:val="none" w:sz="0" w:space="0" w:color="auto"/>
          </w:divBdr>
        </w:div>
        <w:div w:id="362751454">
          <w:marLeft w:val="547"/>
          <w:marRight w:val="0"/>
          <w:marTop w:val="67"/>
          <w:marBottom w:val="0"/>
          <w:divBdr>
            <w:top w:val="none" w:sz="0" w:space="0" w:color="auto"/>
            <w:left w:val="none" w:sz="0" w:space="0" w:color="auto"/>
            <w:bottom w:val="none" w:sz="0" w:space="0" w:color="auto"/>
            <w:right w:val="none" w:sz="0" w:space="0" w:color="auto"/>
          </w:divBdr>
        </w:div>
        <w:div w:id="970550947">
          <w:marLeft w:val="547"/>
          <w:marRight w:val="0"/>
          <w:marTop w:val="67"/>
          <w:marBottom w:val="0"/>
          <w:divBdr>
            <w:top w:val="none" w:sz="0" w:space="0" w:color="auto"/>
            <w:left w:val="none" w:sz="0" w:space="0" w:color="auto"/>
            <w:bottom w:val="none" w:sz="0" w:space="0" w:color="auto"/>
            <w:right w:val="none" w:sz="0" w:space="0" w:color="auto"/>
          </w:divBdr>
        </w:div>
        <w:div w:id="68579991">
          <w:marLeft w:val="547"/>
          <w:marRight w:val="0"/>
          <w:marTop w:val="67"/>
          <w:marBottom w:val="0"/>
          <w:divBdr>
            <w:top w:val="none" w:sz="0" w:space="0" w:color="auto"/>
            <w:left w:val="none" w:sz="0" w:space="0" w:color="auto"/>
            <w:bottom w:val="none" w:sz="0" w:space="0" w:color="auto"/>
            <w:right w:val="none" w:sz="0" w:space="0" w:color="auto"/>
          </w:divBdr>
        </w:div>
      </w:divsChild>
    </w:div>
    <w:div w:id="841161167">
      <w:bodyDiv w:val="1"/>
      <w:marLeft w:val="0"/>
      <w:marRight w:val="0"/>
      <w:marTop w:val="0"/>
      <w:marBottom w:val="0"/>
      <w:divBdr>
        <w:top w:val="none" w:sz="0" w:space="0" w:color="auto"/>
        <w:left w:val="none" w:sz="0" w:space="0" w:color="auto"/>
        <w:bottom w:val="none" w:sz="0" w:space="0" w:color="auto"/>
        <w:right w:val="none" w:sz="0" w:space="0" w:color="auto"/>
      </w:divBdr>
      <w:divsChild>
        <w:div w:id="653029896">
          <w:marLeft w:val="547"/>
          <w:marRight w:val="0"/>
          <w:marTop w:val="67"/>
          <w:marBottom w:val="0"/>
          <w:divBdr>
            <w:top w:val="none" w:sz="0" w:space="0" w:color="auto"/>
            <w:left w:val="none" w:sz="0" w:space="0" w:color="auto"/>
            <w:bottom w:val="none" w:sz="0" w:space="0" w:color="auto"/>
            <w:right w:val="none" w:sz="0" w:space="0" w:color="auto"/>
          </w:divBdr>
        </w:div>
        <w:div w:id="1257712756">
          <w:marLeft w:val="547"/>
          <w:marRight w:val="0"/>
          <w:marTop w:val="67"/>
          <w:marBottom w:val="0"/>
          <w:divBdr>
            <w:top w:val="none" w:sz="0" w:space="0" w:color="auto"/>
            <w:left w:val="none" w:sz="0" w:space="0" w:color="auto"/>
            <w:bottom w:val="none" w:sz="0" w:space="0" w:color="auto"/>
            <w:right w:val="none" w:sz="0" w:space="0" w:color="auto"/>
          </w:divBdr>
        </w:div>
        <w:div w:id="2004313915">
          <w:marLeft w:val="547"/>
          <w:marRight w:val="0"/>
          <w:marTop w:val="67"/>
          <w:marBottom w:val="0"/>
          <w:divBdr>
            <w:top w:val="none" w:sz="0" w:space="0" w:color="auto"/>
            <w:left w:val="none" w:sz="0" w:space="0" w:color="auto"/>
            <w:bottom w:val="none" w:sz="0" w:space="0" w:color="auto"/>
            <w:right w:val="none" w:sz="0" w:space="0" w:color="auto"/>
          </w:divBdr>
        </w:div>
        <w:div w:id="1523740875">
          <w:marLeft w:val="547"/>
          <w:marRight w:val="0"/>
          <w:marTop w:val="67"/>
          <w:marBottom w:val="0"/>
          <w:divBdr>
            <w:top w:val="none" w:sz="0" w:space="0" w:color="auto"/>
            <w:left w:val="none" w:sz="0" w:space="0" w:color="auto"/>
            <w:bottom w:val="none" w:sz="0" w:space="0" w:color="auto"/>
            <w:right w:val="none" w:sz="0" w:space="0" w:color="auto"/>
          </w:divBdr>
        </w:div>
        <w:div w:id="1264651545">
          <w:marLeft w:val="547"/>
          <w:marRight w:val="0"/>
          <w:marTop w:val="67"/>
          <w:marBottom w:val="0"/>
          <w:divBdr>
            <w:top w:val="none" w:sz="0" w:space="0" w:color="auto"/>
            <w:left w:val="none" w:sz="0" w:space="0" w:color="auto"/>
            <w:bottom w:val="none" w:sz="0" w:space="0" w:color="auto"/>
            <w:right w:val="none" w:sz="0" w:space="0" w:color="auto"/>
          </w:divBdr>
        </w:div>
        <w:div w:id="297104690">
          <w:marLeft w:val="547"/>
          <w:marRight w:val="0"/>
          <w:marTop w:val="67"/>
          <w:marBottom w:val="0"/>
          <w:divBdr>
            <w:top w:val="none" w:sz="0" w:space="0" w:color="auto"/>
            <w:left w:val="none" w:sz="0" w:space="0" w:color="auto"/>
            <w:bottom w:val="none" w:sz="0" w:space="0" w:color="auto"/>
            <w:right w:val="none" w:sz="0" w:space="0" w:color="auto"/>
          </w:divBdr>
        </w:div>
      </w:divsChild>
    </w:div>
    <w:div w:id="856237386">
      <w:bodyDiv w:val="1"/>
      <w:marLeft w:val="0"/>
      <w:marRight w:val="0"/>
      <w:marTop w:val="0"/>
      <w:marBottom w:val="0"/>
      <w:divBdr>
        <w:top w:val="none" w:sz="0" w:space="0" w:color="auto"/>
        <w:left w:val="none" w:sz="0" w:space="0" w:color="auto"/>
        <w:bottom w:val="none" w:sz="0" w:space="0" w:color="auto"/>
        <w:right w:val="none" w:sz="0" w:space="0" w:color="auto"/>
      </w:divBdr>
    </w:div>
    <w:div w:id="870067570">
      <w:bodyDiv w:val="1"/>
      <w:marLeft w:val="0"/>
      <w:marRight w:val="0"/>
      <w:marTop w:val="0"/>
      <w:marBottom w:val="0"/>
      <w:divBdr>
        <w:top w:val="none" w:sz="0" w:space="0" w:color="auto"/>
        <w:left w:val="none" w:sz="0" w:space="0" w:color="auto"/>
        <w:bottom w:val="none" w:sz="0" w:space="0" w:color="auto"/>
        <w:right w:val="none" w:sz="0" w:space="0" w:color="auto"/>
      </w:divBdr>
    </w:div>
    <w:div w:id="899167213">
      <w:bodyDiv w:val="1"/>
      <w:marLeft w:val="0"/>
      <w:marRight w:val="0"/>
      <w:marTop w:val="0"/>
      <w:marBottom w:val="0"/>
      <w:divBdr>
        <w:top w:val="none" w:sz="0" w:space="0" w:color="auto"/>
        <w:left w:val="none" w:sz="0" w:space="0" w:color="auto"/>
        <w:bottom w:val="none" w:sz="0" w:space="0" w:color="auto"/>
        <w:right w:val="none" w:sz="0" w:space="0" w:color="auto"/>
      </w:divBdr>
    </w:div>
    <w:div w:id="948704029">
      <w:bodyDiv w:val="1"/>
      <w:marLeft w:val="0"/>
      <w:marRight w:val="0"/>
      <w:marTop w:val="0"/>
      <w:marBottom w:val="0"/>
      <w:divBdr>
        <w:top w:val="none" w:sz="0" w:space="0" w:color="auto"/>
        <w:left w:val="none" w:sz="0" w:space="0" w:color="auto"/>
        <w:bottom w:val="none" w:sz="0" w:space="0" w:color="auto"/>
        <w:right w:val="none" w:sz="0" w:space="0" w:color="auto"/>
      </w:divBdr>
    </w:div>
    <w:div w:id="988940284">
      <w:bodyDiv w:val="1"/>
      <w:marLeft w:val="0"/>
      <w:marRight w:val="0"/>
      <w:marTop w:val="0"/>
      <w:marBottom w:val="0"/>
      <w:divBdr>
        <w:top w:val="none" w:sz="0" w:space="0" w:color="auto"/>
        <w:left w:val="none" w:sz="0" w:space="0" w:color="auto"/>
        <w:bottom w:val="none" w:sz="0" w:space="0" w:color="auto"/>
        <w:right w:val="none" w:sz="0" w:space="0" w:color="auto"/>
      </w:divBdr>
    </w:div>
    <w:div w:id="998652070">
      <w:bodyDiv w:val="1"/>
      <w:marLeft w:val="0"/>
      <w:marRight w:val="0"/>
      <w:marTop w:val="0"/>
      <w:marBottom w:val="0"/>
      <w:divBdr>
        <w:top w:val="none" w:sz="0" w:space="0" w:color="auto"/>
        <w:left w:val="none" w:sz="0" w:space="0" w:color="auto"/>
        <w:bottom w:val="none" w:sz="0" w:space="0" w:color="auto"/>
        <w:right w:val="none" w:sz="0" w:space="0" w:color="auto"/>
      </w:divBdr>
      <w:divsChild>
        <w:div w:id="779104500">
          <w:marLeft w:val="547"/>
          <w:marRight w:val="0"/>
          <w:marTop w:val="134"/>
          <w:marBottom w:val="0"/>
          <w:divBdr>
            <w:top w:val="none" w:sz="0" w:space="0" w:color="auto"/>
            <w:left w:val="none" w:sz="0" w:space="0" w:color="auto"/>
            <w:bottom w:val="none" w:sz="0" w:space="0" w:color="auto"/>
            <w:right w:val="none" w:sz="0" w:space="0" w:color="auto"/>
          </w:divBdr>
        </w:div>
        <w:div w:id="285740602">
          <w:marLeft w:val="547"/>
          <w:marRight w:val="0"/>
          <w:marTop w:val="134"/>
          <w:marBottom w:val="0"/>
          <w:divBdr>
            <w:top w:val="none" w:sz="0" w:space="0" w:color="auto"/>
            <w:left w:val="none" w:sz="0" w:space="0" w:color="auto"/>
            <w:bottom w:val="none" w:sz="0" w:space="0" w:color="auto"/>
            <w:right w:val="none" w:sz="0" w:space="0" w:color="auto"/>
          </w:divBdr>
        </w:div>
        <w:div w:id="842163479">
          <w:marLeft w:val="547"/>
          <w:marRight w:val="0"/>
          <w:marTop w:val="134"/>
          <w:marBottom w:val="0"/>
          <w:divBdr>
            <w:top w:val="none" w:sz="0" w:space="0" w:color="auto"/>
            <w:left w:val="none" w:sz="0" w:space="0" w:color="auto"/>
            <w:bottom w:val="none" w:sz="0" w:space="0" w:color="auto"/>
            <w:right w:val="none" w:sz="0" w:space="0" w:color="auto"/>
          </w:divBdr>
        </w:div>
        <w:div w:id="1815296630">
          <w:marLeft w:val="547"/>
          <w:marRight w:val="0"/>
          <w:marTop w:val="134"/>
          <w:marBottom w:val="0"/>
          <w:divBdr>
            <w:top w:val="none" w:sz="0" w:space="0" w:color="auto"/>
            <w:left w:val="none" w:sz="0" w:space="0" w:color="auto"/>
            <w:bottom w:val="none" w:sz="0" w:space="0" w:color="auto"/>
            <w:right w:val="none" w:sz="0" w:space="0" w:color="auto"/>
          </w:divBdr>
        </w:div>
        <w:div w:id="1666469192">
          <w:marLeft w:val="547"/>
          <w:marRight w:val="0"/>
          <w:marTop w:val="134"/>
          <w:marBottom w:val="0"/>
          <w:divBdr>
            <w:top w:val="none" w:sz="0" w:space="0" w:color="auto"/>
            <w:left w:val="none" w:sz="0" w:space="0" w:color="auto"/>
            <w:bottom w:val="none" w:sz="0" w:space="0" w:color="auto"/>
            <w:right w:val="none" w:sz="0" w:space="0" w:color="auto"/>
          </w:divBdr>
        </w:div>
        <w:div w:id="1579167162">
          <w:marLeft w:val="547"/>
          <w:marRight w:val="0"/>
          <w:marTop w:val="134"/>
          <w:marBottom w:val="0"/>
          <w:divBdr>
            <w:top w:val="none" w:sz="0" w:space="0" w:color="auto"/>
            <w:left w:val="none" w:sz="0" w:space="0" w:color="auto"/>
            <w:bottom w:val="none" w:sz="0" w:space="0" w:color="auto"/>
            <w:right w:val="none" w:sz="0" w:space="0" w:color="auto"/>
          </w:divBdr>
        </w:div>
      </w:divsChild>
    </w:div>
    <w:div w:id="1001734397">
      <w:bodyDiv w:val="1"/>
      <w:marLeft w:val="0"/>
      <w:marRight w:val="0"/>
      <w:marTop w:val="0"/>
      <w:marBottom w:val="0"/>
      <w:divBdr>
        <w:top w:val="none" w:sz="0" w:space="0" w:color="auto"/>
        <w:left w:val="none" w:sz="0" w:space="0" w:color="auto"/>
        <w:bottom w:val="none" w:sz="0" w:space="0" w:color="auto"/>
        <w:right w:val="none" w:sz="0" w:space="0" w:color="auto"/>
      </w:divBdr>
      <w:divsChild>
        <w:div w:id="1574659874">
          <w:marLeft w:val="547"/>
          <w:marRight w:val="0"/>
          <w:marTop w:val="0"/>
          <w:marBottom w:val="0"/>
          <w:divBdr>
            <w:top w:val="none" w:sz="0" w:space="0" w:color="auto"/>
            <w:left w:val="none" w:sz="0" w:space="0" w:color="auto"/>
            <w:bottom w:val="none" w:sz="0" w:space="0" w:color="auto"/>
            <w:right w:val="none" w:sz="0" w:space="0" w:color="auto"/>
          </w:divBdr>
        </w:div>
        <w:div w:id="678509816">
          <w:marLeft w:val="547"/>
          <w:marRight w:val="0"/>
          <w:marTop w:val="0"/>
          <w:marBottom w:val="0"/>
          <w:divBdr>
            <w:top w:val="none" w:sz="0" w:space="0" w:color="auto"/>
            <w:left w:val="none" w:sz="0" w:space="0" w:color="auto"/>
            <w:bottom w:val="none" w:sz="0" w:space="0" w:color="auto"/>
            <w:right w:val="none" w:sz="0" w:space="0" w:color="auto"/>
          </w:divBdr>
        </w:div>
        <w:div w:id="368913800">
          <w:marLeft w:val="547"/>
          <w:marRight w:val="0"/>
          <w:marTop w:val="0"/>
          <w:marBottom w:val="0"/>
          <w:divBdr>
            <w:top w:val="none" w:sz="0" w:space="0" w:color="auto"/>
            <w:left w:val="none" w:sz="0" w:space="0" w:color="auto"/>
            <w:bottom w:val="none" w:sz="0" w:space="0" w:color="auto"/>
            <w:right w:val="none" w:sz="0" w:space="0" w:color="auto"/>
          </w:divBdr>
        </w:div>
        <w:div w:id="1458182102">
          <w:marLeft w:val="547"/>
          <w:marRight w:val="0"/>
          <w:marTop w:val="0"/>
          <w:marBottom w:val="0"/>
          <w:divBdr>
            <w:top w:val="none" w:sz="0" w:space="0" w:color="auto"/>
            <w:left w:val="none" w:sz="0" w:space="0" w:color="auto"/>
            <w:bottom w:val="none" w:sz="0" w:space="0" w:color="auto"/>
            <w:right w:val="none" w:sz="0" w:space="0" w:color="auto"/>
          </w:divBdr>
        </w:div>
        <w:div w:id="1960918952">
          <w:marLeft w:val="547"/>
          <w:marRight w:val="0"/>
          <w:marTop w:val="0"/>
          <w:marBottom w:val="0"/>
          <w:divBdr>
            <w:top w:val="none" w:sz="0" w:space="0" w:color="auto"/>
            <w:left w:val="none" w:sz="0" w:space="0" w:color="auto"/>
            <w:bottom w:val="none" w:sz="0" w:space="0" w:color="auto"/>
            <w:right w:val="none" w:sz="0" w:space="0" w:color="auto"/>
          </w:divBdr>
        </w:div>
        <w:div w:id="789591088">
          <w:marLeft w:val="547"/>
          <w:marRight w:val="0"/>
          <w:marTop w:val="0"/>
          <w:marBottom w:val="0"/>
          <w:divBdr>
            <w:top w:val="none" w:sz="0" w:space="0" w:color="auto"/>
            <w:left w:val="none" w:sz="0" w:space="0" w:color="auto"/>
            <w:bottom w:val="none" w:sz="0" w:space="0" w:color="auto"/>
            <w:right w:val="none" w:sz="0" w:space="0" w:color="auto"/>
          </w:divBdr>
        </w:div>
        <w:div w:id="1051151787">
          <w:marLeft w:val="547"/>
          <w:marRight w:val="0"/>
          <w:marTop w:val="0"/>
          <w:marBottom w:val="0"/>
          <w:divBdr>
            <w:top w:val="none" w:sz="0" w:space="0" w:color="auto"/>
            <w:left w:val="none" w:sz="0" w:space="0" w:color="auto"/>
            <w:bottom w:val="none" w:sz="0" w:space="0" w:color="auto"/>
            <w:right w:val="none" w:sz="0" w:space="0" w:color="auto"/>
          </w:divBdr>
        </w:div>
      </w:divsChild>
    </w:div>
    <w:div w:id="1019115411">
      <w:bodyDiv w:val="1"/>
      <w:marLeft w:val="0"/>
      <w:marRight w:val="0"/>
      <w:marTop w:val="0"/>
      <w:marBottom w:val="0"/>
      <w:divBdr>
        <w:top w:val="none" w:sz="0" w:space="0" w:color="auto"/>
        <w:left w:val="none" w:sz="0" w:space="0" w:color="auto"/>
        <w:bottom w:val="none" w:sz="0" w:space="0" w:color="auto"/>
        <w:right w:val="none" w:sz="0" w:space="0" w:color="auto"/>
      </w:divBdr>
      <w:divsChild>
        <w:div w:id="557398622">
          <w:marLeft w:val="0"/>
          <w:marRight w:val="0"/>
          <w:marTop w:val="0"/>
          <w:marBottom w:val="0"/>
          <w:divBdr>
            <w:top w:val="none" w:sz="0" w:space="0" w:color="auto"/>
            <w:left w:val="none" w:sz="0" w:space="0" w:color="auto"/>
            <w:bottom w:val="none" w:sz="0" w:space="0" w:color="auto"/>
            <w:right w:val="none" w:sz="0" w:space="0" w:color="auto"/>
          </w:divBdr>
          <w:divsChild>
            <w:div w:id="1382098320">
              <w:marLeft w:val="0"/>
              <w:marRight w:val="0"/>
              <w:marTop w:val="0"/>
              <w:marBottom w:val="0"/>
              <w:divBdr>
                <w:top w:val="none" w:sz="0" w:space="0" w:color="auto"/>
                <w:left w:val="none" w:sz="0" w:space="0" w:color="auto"/>
                <w:bottom w:val="none" w:sz="0" w:space="0" w:color="auto"/>
                <w:right w:val="none" w:sz="0" w:space="0" w:color="auto"/>
              </w:divBdr>
              <w:divsChild>
                <w:div w:id="1367562085">
                  <w:marLeft w:val="0"/>
                  <w:marRight w:val="0"/>
                  <w:marTop w:val="0"/>
                  <w:marBottom w:val="0"/>
                  <w:divBdr>
                    <w:top w:val="none" w:sz="0" w:space="0" w:color="auto"/>
                    <w:left w:val="none" w:sz="0" w:space="0" w:color="auto"/>
                    <w:bottom w:val="none" w:sz="0" w:space="0" w:color="auto"/>
                    <w:right w:val="none" w:sz="0" w:space="0" w:color="auto"/>
                  </w:divBdr>
                  <w:divsChild>
                    <w:div w:id="320163214">
                      <w:marLeft w:val="0"/>
                      <w:marRight w:val="0"/>
                      <w:marTop w:val="0"/>
                      <w:marBottom w:val="0"/>
                      <w:divBdr>
                        <w:top w:val="none" w:sz="0" w:space="0" w:color="auto"/>
                        <w:left w:val="none" w:sz="0" w:space="0" w:color="auto"/>
                        <w:bottom w:val="none" w:sz="0" w:space="0" w:color="auto"/>
                        <w:right w:val="none" w:sz="0" w:space="0" w:color="auto"/>
                      </w:divBdr>
                      <w:divsChild>
                        <w:div w:id="1063404175">
                          <w:marLeft w:val="0"/>
                          <w:marRight w:val="0"/>
                          <w:marTop w:val="0"/>
                          <w:marBottom w:val="0"/>
                          <w:divBdr>
                            <w:top w:val="none" w:sz="0" w:space="0" w:color="auto"/>
                            <w:left w:val="none" w:sz="0" w:space="0" w:color="auto"/>
                            <w:bottom w:val="none" w:sz="0" w:space="0" w:color="auto"/>
                            <w:right w:val="none" w:sz="0" w:space="0" w:color="auto"/>
                          </w:divBdr>
                          <w:divsChild>
                            <w:div w:id="850994514">
                              <w:marLeft w:val="0"/>
                              <w:marRight w:val="0"/>
                              <w:marTop w:val="0"/>
                              <w:marBottom w:val="0"/>
                              <w:divBdr>
                                <w:top w:val="none" w:sz="0" w:space="0" w:color="auto"/>
                                <w:left w:val="none" w:sz="0" w:space="0" w:color="auto"/>
                                <w:bottom w:val="none" w:sz="0" w:space="0" w:color="auto"/>
                                <w:right w:val="none" w:sz="0" w:space="0" w:color="auto"/>
                              </w:divBdr>
                              <w:divsChild>
                                <w:div w:id="448815796">
                                  <w:marLeft w:val="0"/>
                                  <w:marRight w:val="0"/>
                                  <w:marTop w:val="0"/>
                                  <w:marBottom w:val="0"/>
                                  <w:divBdr>
                                    <w:top w:val="none" w:sz="0" w:space="0" w:color="auto"/>
                                    <w:left w:val="none" w:sz="0" w:space="0" w:color="auto"/>
                                    <w:bottom w:val="none" w:sz="0" w:space="0" w:color="auto"/>
                                    <w:right w:val="none" w:sz="0" w:space="0" w:color="auto"/>
                                  </w:divBdr>
                                  <w:divsChild>
                                    <w:div w:id="802505643">
                                      <w:marLeft w:val="0"/>
                                      <w:marRight w:val="0"/>
                                      <w:marTop w:val="0"/>
                                      <w:marBottom w:val="0"/>
                                      <w:divBdr>
                                        <w:top w:val="none" w:sz="0" w:space="0" w:color="auto"/>
                                        <w:left w:val="none" w:sz="0" w:space="0" w:color="auto"/>
                                        <w:bottom w:val="none" w:sz="0" w:space="0" w:color="auto"/>
                                        <w:right w:val="none" w:sz="0" w:space="0" w:color="auto"/>
                                      </w:divBdr>
                                      <w:divsChild>
                                        <w:div w:id="367070996">
                                          <w:marLeft w:val="0"/>
                                          <w:marRight w:val="0"/>
                                          <w:marTop w:val="0"/>
                                          <w:marBottom w:val="0"/>
                                          <w:divBdr>
                                            <w:top w:val="none" w:sz="0" w:space="0" w:color="auto"/>
                                            <w:left w:val="none" w:sz="0" w:space="0" w:color="auto"/>
                                            <w:bottom w:val="none" w:sz="0" w:space="0" w:color="auto"/>
                                            <w:right w:val="none" w:sz="0" w:space="0" w:color="auto"/>
                                          </w:divBdr>
                                        </w:div>
                                        <w:div w:id="1454979200">
                                          <w:marLeft w:val="0"/>
                                          <w:marRight w:val="0"/>
                                          <w:marTop w:val="0"/>
                                          <w:marBottom w:val="0"/>
                                          <w:divBdr>
                                            <w:top w:val="none" w:sz="0" w:space="0" w:color="auto"/>
                                            <w:left w:val="none" w:sz="0" w:space="0" w:color="auto"/>
                                            <w:bottom w:val="none" w:sz="0" w:space="0" w:color="auto"/>
                                            <w:right w:val="none" w:sz="0" w:space="0" w:color="auto"/>
                                          </w:divBdr>
                                          <w:divsChild>
                                            <w:div w:id="2113622314">
                                              <w:marLeft w:val="132"/>
                                              <w:marRight w:val="0"/>
                                              <w:marTop w:val="0"/>
                                              <w:marBottom w:val="132"/>
                                              <w:divBdr>
                                                <w:top w:val="single" w:sz="4" w:space="7" w:color="990000"/>
                                                <w:left w:val="single" w:sz="4" w:space="7" w:color="990000"/>
                                                <w:bottom w:val="single" w:sz="4" w:space="7" w:color="990000"/>
                                                <w:right w:val="single" w:sz="4" w:space="7" w:color="990000"/>
                                              </w:divBdr>
                                            </w:div>
                                          </w:divsChild>
                                        </w:div>
                                      </w:divsChild>
                                    </w:div>
                                  </w:divsChild>
                                </w:div>
                              </w:divsChild>
                            </w:div>
                          </w:divsChild>
                        </w:div>
                      </w:divsChild>
                    </w:div>
                  </w:divsChild>
                </w:div>
              </w:divsChild>
            </w:div>
          </w:divsChild>
        </w:div>
      </w:divsChild>
    </w:div>
    <w:div w:id="1022781436">
      <w:bodyDiv w:val="1"/>
      <w:marLeft w:val="0"/>
      <w:marRight w:val="0"/>
      <w:marTop w:val="0"/>
      <w:marBottom w:val="0"/>
      <w:divBdr>
        <w:top w:val="none" w:sz="0" w:space="0" w:color="auto"/>
        <w:left w:val="none" w:sz="0" w:space="0" w:color="auto"/>
        <w:bottom w:val="none" w:sz="0" w:space="0" w:color="auto"/>
        <w:right w:val="none" w:sz="0" w:space="0" w:color="auto"/>
      </w:divBdr>
      <w:divsChild>
        <w:div w:id="1549032405">
          <w:marLeft w:val="547"/>
          <w:marRight w:val="0"/>
          <w:marTop w:val="77"/>
          <w:marBottom w:val="0"/>
          <w:divBdr>
            <w:top w:val="none" w:sz="0" w:space="0" w:color="auto"/>
            <w:left w:val="none" w:sz="0" w:space="0" w:color="auto"/>
            <w:bottom w:val="none" w:sz="0" w:space="0" w:color="auto"/>
            <w:right w:val="none" w:sz="0" w:space="0" w:color="auto"/>
          </w:divBdr>
        </w:div>
        <w:div w:id="407768248">
          <w:marLeft w:val="547"/>
          <w:marRight w:val="0"/>
          <w:marTop w:val="77"/>
          <w:marBottom w:val="0"/>
          <w:divBdr>
            <w:top w:val="none" w:sz="0" w:space="0" w:color="auto"/>
            <w:left w:val="none" w:sz="0" w:space="0" w:color="auto"/>
            <w:bottom w:val="none" w:sz="0" w:space="0" w:color="auto"/>
            <w:right w:val="none" w:sz="0" w:space="0" w:color="auto"/>
          </w:divBdr>
        </w:div>
        <w:div w:id="1740982725">
          <w:marLeft w:val="547"/>
          <w:marRight w:val="0"/>
          <w:marTop w:val="77"/>
          <w:marBottom w:val="0"/>
          <w:divBdr>
            <w:top w:val="none" w:sz="0" w:space="0" w:color="auto"/>
            <w:left w:val="none" w:sz="0" w:space="0" w:color="auto"/>
            <w:bottom w:val="none" w:sz="0" w:space="0" w:color="auto"/>
            <w:right w:val="none" w:sz="0" w:space="0" w:color="auto"/>
          </w:divBdr>
        </w:div>
        <w:div w:id="702944193">
          <w:marLeft w:val="547"/>
          <w:marRight w:val="0"/>
          <w:marTop w:val="77"/>
          <w:marBottom w:val="0"/>
          <w:divBdr>
            <w:top w:val="none" w:sz="0" w:space="0" w:color="auto"/>
            <w:left w:val="none" w:sz="0" w:space="0" w:color="auto"/>
            <w:bottom w:val="none" w:sz="0" w:space="0" w:color="auto"/>
            <w:right w:val="none" w:sz="0" w:space="0" w:color="auto"/>
          </w:divBdr>
        </w:div>
        <w:div w:id="1465661616">
          <w:marLeft w:val="547"/>
          <w:marRight w:val="0"/>
          <w:marTop w:val="77"/>
          <w:marBottom w:val="0"/>
          <w:divBdr>
            <w:top w:val="none" w:sz="0" w:space="0" w:color="auto"/>
            <w:left w:val="none" w:sz="0" w:space="0" w:color="auto"/>
            <w:bottom w:val="none" w:sz="0" w:space="0" w:color="auto"/>
            <w:right w:val="none" w:sz="0" w:space="0" w:color="auto"/>
          </w:divBdr>
        </w:div>
        <w:div w:id="1327516145">
          <w:marLeft w:val="547"/>
          <w:marRight w:val="0"/>
          <w:marTop w:val="77"/>
          <w:marBottom w:val="0"/>
          <w:divBdr>
            <w:top w:val="none" w:sz="0" w:space="0" w:color="auto"/>
            <w:left w:val="none" w:sz="0" w:space="0" w:color="auto"/>
            <w:bottom w:val="none" w:sz="0" w:space="0" w:color="auto"/>
            <w:right w:val="none" w:sz="0" w:space="0" w:color="auto"/>
          </w:divBdr>
        </w:div>
        <w:div w:id="840892818">
          <w:marLeft w:val="547"/>
          <w:marRight w:val="0"/>
          <w:marTop w:val="77"/>
          <w:marBottom w:val="0"/>
          <w:divBdr>
            <w:top w:val="none" w:sz="0" w:space="0" w:color="auto"/>
            <w:left w:val="none" w:sz="0" w:space="0" w:color="auto"/>
            <w:bottom w:val="none" w:sz="0" w:space="0" w:color="auto"/>
            <w:right w:val="none" w:sz="0" w:space="0" w:color="auto"/>
          </w:divBdr>
        </w:div>
      </w:divsChild>
    </w:div>
    <w:div w:id="1049720624">
      <w:bodyDiv w:val="1"/>
      <w:marLeft w:val="0"/>
      <w:marRight w:val="0"/>
      <w:marTop w:val="0"/>
      <w:marBottom w:val="0"/>
      <w:divBdr>
        <w:top w:val="none" w:sz="0" w:space="0" w:color="auto"/>
        <w:left w:val="none" w:sz="0" w:space="0" w:color="auto"/>
        <w:bottom w:val="none" w:sz="0" w:space="0" w:color="auto"/>
        <w:right w:val="none" w:sz="0" w:space="0" w:color="auto"/>
      </w:divBdr>
    </w:div>
    <w:div w:id="1102799780">
      <w:bodyDiv w:val="1"/>
      <w:marLeft w:val="0"/>
      <w:marRight w:val="0"/>
      <w:marTop w:val="0"/>
      <w:marBottom w:val="0"/>
      <w:divBdr>
        <w:top w:val="none" w:sz="0" w:space="0" w:color="auto"/>
        <w:left w:val="none" w:sz="0" w:space="0" w:color="auto"/>
        <w:bottom w:val="none" w:sz="0" w:space="0" w:color="auto"/>
        <w:right w:val="none" w:sz="0" w:space="0" w:color="auto"/>
      </w:divBdr>
      <w:divsChild>
        <w:div w:id="968361246">
          <w:marLeft w:val="547"/>
          <w:marRight w:val="0"/>
          <w:marTop w:val="67"/>
          <w:marBottom w:val="0"/>
          <w:divBdr>
            <w:top w:val="none" w:sz="0" w:space="0" w:color="auto"/>
            <w:left w:val="none" w:sz="0" w:space="0" w:color="auto"/>
            <w:bottom w:val="none" w:sz="0" w:space="0" w:color="auto"/>
            <w:right w:val="none" w:sz="0" w:space="0" w:color="auto"/>
          </w:divBdr>
        </w:div>
        <w:div w:id="1493567998">
          <w:marLeft w:val="547"/>
          <w:marRight w:val="0"/>
          <w:marTop w:val="67"/>
          <w:marBottom w:val="0"/>
          <w:divBdr>
            <w:top w:val="none" w:sz="0" w:space="0" w:color="auto"/>
            <w:left w:val="none" w:sz="0" w:space="0" w:color="auto"/>
            <w:bottom w:val="none" w:sz="0" w:space="0" w:color="auto"/>
            <w:right w:val="none" w:sz="0" w:space="0" w:color="auto"/>
          </w:divBdr>
        </w:div>
        <w:div w:id="1483237407">
          <w:marLeft w:val="547"/>
          <w:marRight w:val="0"/>
          <w:marTop w:val="67"/>
          <w:marBottom w:val="0"/>
          <w:divBdr>
            <w:top w:val="none" w:sz="0" w:space="0" w:color="auto"/>
            <w:left w:val="none" w:sz="0" w:space="0" w:color="auto"/>
            <w:bottom w:val="none" w:sz="0" w:space="0" w:color="auto"/>
            <w:right w:val="none" w:sz="0" w:space="0" w:color="auto"/>
          </w:divBdr>
        </w:div>
        <w:div w:id="322703353">
          <w:marLeft w:val="547"/>
          <w:marRight w:val="0"/>
          <w:marTop w:val="67"/>
          <w:marBottom w:val="0"/>
          <w:divBdr>
            <w:top w:val="none" w:sz="0" w:space="0" w:color="auto"/>
            <w:left w:val="none" w:sz="0" w:space="0" w:color="auto"/>
            <w:bottom w:val="none" w:sz="0" w:space="0" w:color="auto"/>
            <w:right w:val="none" w:sz="0" w:space="0" w:color="auto"/>
          </w:divBdr>
        </w:div>
        <w:div w:id="1588420760">
          <w:marLeft w:val="547"/>
          <w:marRight w:val="0"/>
          <w:marTop w:val="67"/>
          <w:marBottom w:val="0"/>
          <w:divBdr>
            <w:top w:val="none" w:sz="0" w:space="0" w:color="auto"/>
            <w:left w:val="none" w:sz="0" w:space="0" w:color="auto"/>
            <w:bottom w:val="none" w:sz="0" w:space="0" w:color="auto"/>
            <w:right w:val="none" w:sz="0" w:space="0" w:color="auto"/>
          </w:divBdr>
        </w:div>
        <w:div w:id="1024406437">
          <w:marLeft w:val="547"/>
          <w:marRight w:val="0"/>
          <w:marTop w:val="67"/>
          <w:marBottom w:val="0"/>
          <w:divBdr>
            <w:top w:val="none" w:sz="0" w:space="0" w:color="auto"/>
            <w:left w:val="none" w:sz="0" w:space="0" w:color="auto"/>
            <w:bottom w:val="none" w:sz="0" w:space="0" w:color="auto"/>
            <w:right w:val="none" w:sz="0" w:space="0" w:color="auto"/>
          </w:divBdr>
        </w:div>
        <w:div w:id="1173029784">
          <w:marLeft w:val="547"/>
          <w:marRight w:val="0"/>
          <w:marTop w:val="67"/>
          <w:marBottom w:val="0"/>
          <w:divBdr>
            <w:top w:val="none" w:sz="0" w:space="0" w:color="auto"/>
            <w:left w:val="none" w:sz="0" w:space="0" w:color="auto"/>
            <w:bottom w:val="none" w:sz="0" w:space="0" w:color="auto"/>
            <w:right w:val="none" w:sz="0" w:space="0" w:color="auto"/>
          </w:divBdr>
        </w:div>
        <w:div w:id="2044163285">
          <w:marLeft w:val="547"/>
          <w:marRight w:val="0"/>
          <w:marTop w:val="67"/>
          <w:marBottom w:val="0"/>
          <w:divBdr>
            <w:top w:val="none" w:sz="0" w:space="0" w:color="auto"/>
            <w:left w:val="none" w:sz="0" w:space="0" w:color="auto"/>
            <w:bottom w:val="none" w:sz="0" w:space="0" w:color="auto"/>
            <w:right w:val="none" w:sz="0" w:space="0" w:color="auto"/>
          </w:divBdr>
        </w:div>
      </w:divsChild>
    </w:div>
    <w:div w:id="1226331197">
      <w:bodyDiv w:val="1"/>
      <w:marLeft w:val="0"/>
      <w:marRight w:val="0"/>
      <w:marTop w:val="0"/>
      <w:marBottom w:val="0"/>
      <w:divBdr>
        <w:top w:val="none" w:sz="0" w:space="0" w:color="auto"/>
        <w:left w:val="none" w:sz="0" w:space="0" w:color="auto"/>
        <w:bottom w:val="none" w:sz="0" w:space="0" w:color="auto"/>
        <w:right w:val="none" w:sz="0" w:space="0" w:color="auto"/>
      </w:divBdr>
    </w:div>
    <w:div w:id="1242057594">
      <w:bodyDiv w:val="1"/>
      <w:marLeft w:val="0"/>
      <w:marRight w:val="0"/>
      <w:marTop w:val="0"/>
      <w:marBottom w:val="0"/>
      <w:divBdr>
        <w:top w:val="none" w:sz="0" w:space="0" w:color="auto"/>
        <w:left w:val="none" w:sz="0" w:space="0" w:color="auto"/>
        <w:bottom w:val="none" w:sz="0" w:space="0" w:color="auto"/>
        <w:right w:val="none" w:sz="0" w:space="0" w:color="auto"/>
      </w:divBdr>
      <w:divsChild>
        <w:div w:id="1608583570">
          <w:marLeft w:val="547"/>
          <w:marRight w:val="0"/>
          <w:marTop w:val="67"/>
          <w:marBottom w:val="0"/>
          <w:divBdr>
            <w:top w:val="none" w:sz="0" w:space="0" w:color="auto"/>
            <w:left w:val="none" w:sz="0" w:space="0" w:color="auto"/>
            <w:bottom w:val="none" w:sz="0" w:space="0" w:color="auto"/>
            <w:right w:val="none" w:sz="0" w:space="0" w:color="auto"/>
          </w:divBdr>
        </w:div>
        <w:div w:id="887492171">
          <w:marLeft w:val="547"/>
          <w:marRight w:val="0"/>
          <w:marTop w:val="67"/>
          <w:marBottom w:val="0"/>
          <w:divBdr>
            <w:top w:val="none" w:sz="0" w:space="0" w:color="auto"/>
            <w:left w:val="none" w:sz="0" w:space="0" w:color="auto"/>
            <w:bottom w:val="none" w:sz="0" w:space="0" w:color="auto"/>
            <w:right w:val="none" w:sz="0" w:space="0" w:color="auto"/>
          </w:divBdr>
        </w:div>
        <w:div w:id="1370035114">
          <w:marLeft w:val="547"/>
          <w:marRight w:val="0"/>
          <w:marTop w:val="67"/>
          <w:marBottom w:val="0"/>
          <w:divBdr>
            <w:top w:val="none" w:sz="0" w:space="0" w:color="auto"/>
            <w:left w:val="none" w:sz="0" w:space="0" w:color="auto"/>
            <w:bottom w:val="none" w:sz="0" w:space="0" w:color="auto"/>
            <w:right w:val="none" w:sz="0" w:space="0" w:color="auto"/>
          </w:divBdr>
        </w:div>
        <w:div w:id="2064332769">
          <w:marLeft w:val="547"/>
          <w:marRight w:val="0"/>
          <w:marTop w:val="67"/>
          <w:marBottom w:val="0"/>
          <w:divBdr>
            <w:top w:val="none" w:sz="0" w:space="0" w:color="auto"/>
            <w:left w:val="none" w:sz="0" w:space="0" w:color="auto"/>
            <w:bottom w:val="none" w:sz="0" w:space="0" w:color="auto"/>
            <w:right w:val="none" w:sz="0" w:space="0" w:color="auto"/>
          </w:divBdr>
        </w:div>
        <w:div w:id="1337994890">
          <w:marLeft w:val="547"/>
          <w:marRight w:val="0"/>
          <w:marTop w:val="67"/>
          <w:marBottom w:val="0"/>
          <w:divBdr>
            <w:top w:val="none" w:sz="0" w:space="0" w:color="auto"/>
            <w:left w:val="none" w:sz="0" w:space="0" w:color="auto"/>
            <w:bottom w:val="none" w:sz="0" w:space="0" w:color="auto"/>
            <w:right w:val="none" w:sz="0" w:space="0" w:color="auto"/>
          </w:divBdr>
        </w:div>
        <w:div w:id="2108117607">
          <w:marLeft w:val="547"/>
          <w:marRight w:val="0"/>
          <w:marTop w:val="67"/>
          <w:marBottom w:val="0"/>
          <w:divBdr>
            <w:top w:val="none" w:sz="0" w:space="0" w:color="auto"/>
            <w:left w:val="none" w:sz="0" w:space="0" w:color="auto"/>
            <w:bottom w:val="none" w:sz="0" w:space="0" w:color="auto"/>
            <w:right w:val="none" w:sz="0" w:space="0" w:color="auto"/>
          </w:divBdr>
        </w:div>
      </w:divsChild>
    </w:div>
    <w:div w:id="1257399941">
      <w:bodyDiv w:val="1"/>
      <w:marLeft w:val="0"/>
      <w:marRight w:val="0"/>
      <w:marTop w:val="0"/>
      <w:marBottom w:val="0"/>
      <w:divBdr>
        <w:top w:val="none" w:sz="0" w:space="0" w:color="auto"/>
        <w:left w:val="none" w:sz="0" w:space="0" w:color="auto"/>
        <w:bottom w:val="none" w:sz="0" w:space="0" w:color="auto"/>
        <w:right w:val="none" w:sz="0" w:space="0" w:color="auto"/>
      </w:divBdr>
      <w:divsChild>
        <w:div w:id="2049717986">
          <w:marLeft w:val="547"/>
          <w:marRight w:val="0"/>
          <w:marTop w:val="77"/>
          <w:marBottom w:val="0"/>
          <w:divBdr>
            <w:top w:val="none" w:sz="0" w:space="0" w:color="auto"/>
            <w:left w:val="none" w:sz="0" w:space="0" w:color="auto"/>
            <w:bottom w:val="none" w:sz="0" w:space="0" w:color="auto"/>
            <w:right w:val="none" w:sz="0" w:space="0" w:color="auto"/>
          </w:divBdr>
        </w:div>
        <w:div w:id="137771936">
          <w:marLeft w:val="547"/>
          <w:marRight w:val="0"/>
          <w:marTop w:val="77"/>
          <w:marBottom w:val="0"/>
          <w:divBdr>
            <w:top w:val="none" w:sz="0" w:space="0" w:color="auto"/>
            <w:left w:val="none" w:sz="0" w:space="0" w:color="auto"/>
            <w:bottom w:val="none" w:sz="0" w:space="0" w:color="auto"/>
            <w:right w:val="none" w:sz="0" w:space="0" w:color="auto"/>
          </w:divBdr>
        </w:div>
        <w:div w:id="1935744012">
          <w:marLeft w:val="547"/>
          <w:marRight w:val="0"/>
          <w:marTop w:val="77"/>
          <w:marBottom w:val="0"/>
          <w:divBdr>
            <w:top w:val="none" w:sz="0" w:space="0" w:color="auto"/>
            <w:left w:val="none" w:sz="0" w:space="0" w:color="auto"/>
            <w:bottom w:val="none" w:sz="0" w:space="0" w:color="auto"/>
            <w:right w:val="none" w:sz="0" w:space="0" w:color="auto"/>
          </w:divBdr>
        </w:div>
        <w:div w:id="2118523526">
          <w:marLeft w:val="547"/>
          <w:marRight w:val="0"/>
          <w:marTop w:val="77"/>
          <w:marBottom w:val="0"/>
          <w:divBdr>
            <w:top w:val="none" w:sz="0" w:space="0" w:color="auto"/>
            <w:left w:val="none" w:sz="0" w:space="0" w:color="auto"/>
            <w:bottom w:val="none" w:sz="0" w:space="0" w:color="auto"/>
            <w:right w:val="none" w:sz="0" w:space="0" w:color="auto"/>
          </w:divBdr>
        </w:div>
        <w:div w:id="97525779">
          <w:marLeft w:val="547"/>
          <w:marRight w:val="0"/>
          <w:marTop w:val="77"/>
          <w:marBottom w:val="0"/>
          <w:divBdr>
            <w:top w:val="none" w:sz="0" w:space="0" w:color="auto"/>
            <w:left w:val="none" w:sz="0" w:space="0" w:color="auto"/>
            <w:bottom w:val="none" w:sz="0" w:space="0" w:color="auto"/>
            <w:right w:val="none" w:sz="0" w:space="0" w:color="auto"/>
          </w:divBdr>
        </w:div>
        <w:div w:id="2109421884">
          <w:marLeft w:val="547"/>
          <w:marRight w:val="0"/>
          <w:marTop w:val="77"/>
          <w:marBottom w:val="0"/>
          <w:divBdr>
            <w:top w:val="none" w:sz="0" w:space="0" w:color="auto"/>
            <w:left w:val="none" w:sz="0" w:space="0" w:color="auto"/>
            <w:bottom w:val="none" w:sz="0" w:space="0" w:color="auto"/>
            <w:right w:val="none" w:sz="0" w:space="0" w:color="auto"/>
          </w:divBdr>
        </w:div>
      </w:divsChild>
    </w:div>
    <w:div w:id="1321275353">
      <w:bodyDiv w:val="1"/>
      <w:marLeft w:val="0"/>
      <w:marRight w:val="0"/>
      <w:marTop w:val="0"/>
      <w:marBottom w:val="0"/>
      <w:divBdr>
        <w:top w:val="none" w:sz="0" w:space="0" w:color="auto"/>
        <w:left w:val="none" w:sz="0" w:space="0" w:color="auto"/>
        <w:bottom w:val="none" w:sz="0" w:space="0" w:color="auto"/>
        <w:right w:val="none" w:sz="0" w:space="0" w:color="auto"/>
      </w:divBdr>
    </w:div>
    <w:div w:id="1333020807">
      <w:bodyDiv w:val="1"/>
      <w:marLeft w:val="0"/>
      <w:marRight w:val="0"/>
      <w:marTop w:val="0"/>
      <w:marBottom w:val="0"/>
      <w:divBdr>
        <w:top w:val="none" w:sz="0" w:space="0" w:color="auto"/>
        <w:left w:val="none" w:sz="0" w:space="0" w:color="auto"/>
        <w:bottom w:val="none" w:sz="0" w:space="0" w:color="auto"/>
        <w:right w:val="none" w:sz="0" w:space="0" w:color="auto"/>
      </w:divBdr>
    </w:div>
    <w:div w:id="1375808151">
      <w:bodyDiv w:val="1"/>
      <w:marLeft w:val="0"/>
      <w:marRight w:val="0"/>
      <w:marTop w:val="0"/>
      <w:marBottom w:val="0"/>
      <w:divBdr>
        <w:top w:val="none" w:sz="0" w:space="0" w:color="auto"/>
        <w:left w:val="none" w:sz="0" w:space="0" w:color="auto"/>
        <w:bottom w:val="none" w:sz="0" w:space="0" w:color="auto"/>
        <w:right w:val="none" w:sz="0" w:space="0" w:color="auto"/>
      </w:divBdr>
      <w:divsChild>
        <w:div w:id="520125437">
          <w:marLeft w:val="274"/>
          <w:marRight w:val="0"/>
          <w:marTop w:val="0"/>
          <w:marBottom w:val="0"/>
          <w:divBdr>
            <w:top w:val="none" w:sz="0" w:space="0" w:color="auto"/>
            <w:left w:val="none" w:sz="0" w:space="0" w:color="auto"/>
            <w:bottom w:val="none" w:sz="0" w:space="0" w:color="auto"/>
            <w:right w:val="none" w:sz="0" w:space="0" w:color="auto"/>
          </w:divBdr>
        </w:div>
        <w:div w:id="1719086355">
          <w:marLeft w:val="274"/>
          <w:marRight w:val="0"/>
          <w:marTop w:val="0"/>
          <w:marBottom w:val="0"/>
          <w:divBdr>
            <w:top w:val="none" w:sz="0" w:space="0" w:color="auto"/>
            <w:left w:val="none" w:sz="0" w:space="0" w:color="auto"/>
            <w:bottom w:val="none" w:sz="0" w:space="0" w:color="auto"/>
            <w:right w:val="none" w:sz="0" w:space="0" w:color="auto"/>
          </w:divBdr>
        </w:div>
      </w:divsChild>
    </w:div>
    <w:div w:id="1382244716">
      <w:bodyDiv w:val="1"/>
      <w:marLeft w:val="0"/>
      <w:marRight w:val="0"/>
      <w:marTop w:val="0"/>
      <w:marBottom w:val="0"/>
      <w:divBdr>
        <w:top w:val="none" w:sz="0" w:space="0" w:color="auto"/>
        <w:left w:val="none" w:sz="0" w:space="0" w:color="auto"/>
        <w:bottom w:val="none" w:sz="0" w:space="0" w:color="auto"/>
        <w:right w:val="none" w:sz="0" w:space="0" w:color="auto"/>
      </w:divBdr>
    </w:div>
    <w:div w:id="1430000564">
      <w:bodyDiv w:val="1"/>
      <w:marLeft w:val="0"/>
      <w:marRight w:val="0"/>
      <w:marTop w:val="0"/>
      <w:marBottom w:val="0"/>
      <w:divBdr>
        <w:top w:val="none" w:sz="0" w:space="0" w:color="auto"/>
        <w:left w:val="none" w:sz="0" w:space="0" w:color="auto"/>
        <w:bottom w:val="none" w:sz="0" w:space="0" w:color="auto"/>
        <w:right w:val="none" w:sz="0" w:space="0" w:color="auto"/>
      </w:divBdr>
    </w:div>
    <w:div w:id="1525247695">
      <w:bodyDiv w:val="1"/>
      <w:marLeft w:val="0"/>
      <w:marRight w:val="0"/>
      <w:marTop w:val="0"/>
      <w:marBottom w:val="0"/>
      <w:divBdr>
        <w:top w:val="none" w:sz="0" w:space="0" w:color="auto"/>
        <w:left w:val="none" w:sz="0" w:space="0" w:color="auto"/>
        <w:bottom w:val="none" w:sz="0" w:space="0" w:color="auto"/>
        <w:right w:val="none" w:sz="0" w:space="0" w:color="auto"/>
      </w:divBdr>
    </w:div>
    <w:div w:id="1617056864">
      <w:bodyDiv w:val="1"/>
      <w:marLeft w:val="0"/>
      <w:marRight w:val="0"/>
      <w:marTop w:val="0"/>
      <w:marBottom w:val="0"/>
      <w:divBdr>
        <w:top w:val="none" w:sz="0" w:space="0" w:color="auto"/>
        <w:left w:val="none" w:sz="0" w:space="0" w:color="auto"/>
        <w:bottom w:val="none" w:sz="0" w:space="0" w:color="auto"/>
        <w:right w:val="none" w:sz="0" w:space="0" w:color="auto"/>
      </w:divBdr>
      <w:divsChild>
        <w:div w:id="256180275">
          <w:marLeft w:val="547"/>
          <w:marRight w:val="0"/>
          <w:marTop w:val="77"/>
          <w:marBottom w:val="0"/>
          <w:divBdr>
            <w:top w:val="none" w:sz="0" w:space="0" w:color="auto"/>
            <w:left w:val="none" w:sz="0" w:space="0" w:color="auto"/>
            <w:bottom w:val="none" w:sz="0" w:space="0" w:color="auto"/>
            <w:right w:val="none" w:sz="0" w:space="0" w:color="auto"/>
          </w:divBdr>
        </w:div>
        <w:div w:id="749082997">
          <w:marLeft w:val="547"/>
          <w:marRight w:val="0"/>
          <w:marTop w:val="77"/>
          <w:marBottom w:val="0"/>
          <w:divBdr>
            <w:top w:val="none" w:sz="0" w:space="0" w:color="auto"/>
            <w:left w:val="none" w:sz="0" w:space="0" w:color="auto"/>
            <w:bottom w:val="none" w:sz="0" w:space="0" w:color="auto"/>
            <w:right w:val="none" w:sz="0" w:space="0" w:color="auto"/>
          </w:divBdr>
        </w:div>
        <w:div w:id="708725016">
          <w:marLeft w:val="547"/>
          <w:marRight w:val="0"/>
          <w:marTop w:val="77"/>
          <w:marBottom w:val="0"/>
          <w:divBdr>
            <w:top w:val="none" w:sz="0" w:space="0" w:color="auto"/>
            <w:left w:val="none" w:sz="0" w:space="0" w:color="auto"/>
            <w:bottom w:val="none" w:sz="0" w:space="0" w:color="auto"/>
            <w:right w:val="none" w:sz="0" w:space="0" w:color="auto"/>
          </w:divBdr>
        </w:div>
        <w:div w:id="1130435344">
          <w:marLeft w:val="547"/>
          <w:marRight w:val="0"/>
          <w:marTop w:val="77"/>
          <w:marBottom w:val="0"/>
          <w:divBdr>
            <w:top w:val="none" w:sz="0" w:space="0" w:color="auto"/>
            <w:left w:val="none" w:sz="0" w:space="0" w:color="auto"/>
            <w:bottom w:val="none" w:sz="0" w:space="0" w:color="auto"/>
            <w:right w:val="none" w:sz="0" w:space="0" w:color="auto"/>
          </w:divBdr>
        </w:div>
        <w:div w:id="1494755875">
          <w:marLeft w:val="547"/>
          <w:marRight w:val="0"/>
          <w:marTop w:val="77"/>
          <w:marBottom w:val="0"/>
          <w:divBdr>
            <w:top w:val="none" w:sz="0" w:space="0" w:color="auto"/>
            <w:left w:val="none" w:sz="0" w:space="0" w:color="auto"/>
            <w:bottom w:val="none" w:sz="0" w:space="0" w:color="auto"/>
            <w:right w:val="none" w:sz="0" w:space="0" w:color="auto"/>
          </w:divBdr>
        </w:div>
        <w:div w:id="288822483">
          <w:marLeft w:val="547"/>
          <w:marRight w:val="0"/>
          <w:marTop w:val="77"/>
          <w:marBottom w:val="0"/>
          <w:divBdr>
            <w:top w:val="none" w:sz="0" w:space="0" w:color="auto"/>
            <w:left w:val="none" w:sz="0" w:space="0" w:color="auto"/>
            <w:bottom w:val="none" w:sz="0" w:space="0" w:color="auto"/>
            <w:right w:val="none" w:sz="0" w:space="0" w:color="auto"/>
          </w:divBdr>
        </w:div>
      </w:divsChild>
    </w:div>
    <w:div w:id="1658804668">
      <w:bodyDiv w:val="1"/>
      <w:marLeft w:val="0"/>
      <w:marRight w:val="0"/>
      <w:marTop w:val="0"/>
      <w:marBottom w:val="0"/>
      <w:divBdr>
        <w:top w:val="none" w:sz="0" w:space="0" w:color="auto"/>
        <w:left w:val="none" w:sz="0" w:space="0" w:color="auto"/>
        <w:bottom w:val="none" w:sz="0" w:space="0" w:color="auto"/>
        <w:right w:val="none" w:sz="0" w:space="0" w:color="auto"/>
      </w:divBdr>
    </w:div>
    <w:div w:id="1675302095">
      <w:bodyDiv w:val="1"/>
      <w:marLeft w:val="0"/>
      <w:marRight w:val="0"/>
      <w:marTop w:val="0"/>
      <w:marBottom w:val="0"/>
      <w:divBdr>
        <w:top w:val="none" w:sz="0" w:space="0" w:color="auto"/>
        <w:left w:val="none" w:sz="0" w:space="0" w:color="auto"/>
        <w:bottom w:val="none" w:sz="0" w:space="0" w:color="auto"/>
        <w:right w:val="none" w:sz="0" w:space="0" w:color="auto"/>
      </w:divBdr>
    </w:div>
    <w:div w:id="1682509270">
      <w:bodyDiv w:val="1"/>
      <w:marLeft w:val="0"/>
      <w:marRight w:val="0"/>
      <w:marTop w:val="0"/>
      <w:marBottom w:val="0"/>
      <w:divBdr>
        <w:top w:val="none" w:sz="0" w:space="0" w:color="auto"/>
        <w:left w:val="none" w:sz="0" w:space="0" w:color="auto"/>
        <w:bottom w:val="none" w:sz="0" w:space="0" w:color="auto"/>
        <w:right w:val="none" w:sz="0" w:space="0" w:color="auto"/>
      </w:divBdr>
    </w:div>
    <w:div w:id="1717241439">
      <w:bodyDiv w:val="1"/>
      <w:marLeft w:val="0"/>
      <w:marRight w:val="0"/>
      <w:marTop w:val="0"/>
      <w:marBottom w:val="0"/>
      <w:divBdr>
        <w:top w:val="none" w:sz="0" w:space="0" w:color="auto"/>
        <w:left w:val="none" w:sz="0" w:space="0" w:color="auto"/>
        <w:bottom w:val="none" w:sz="0" w:space="0" w:color="auto"/>
        <w:right w:val="none" w:sz="0" w:space="0" w:color="auto"/>
      </w:divBdr>
    </w:div>
    <w:div w:id="1747604162">
      <w:bodyDiv w:val="1"/>
      <w:marLeft w:val="0"/>
      <w:marRight w:val="0"/>
      <w:marTop w:val="0"/>
      <w:marBottom w:val="0"/>
      <w:divBdr>
        <w:top w:val="none" w:sz="0" w:space="0" w:color="auto"/>
        <w:left w:val="none" w:sz="0" w:space="0" w:color="auto"/>
        <w:bottom w:val="none" w:sz="0" w:space="0" w:color="auto"/>
        <w:right w:val="none" w:sz="0" w:space="0" w:color="auto"/>
      </w:divBdr>
      <w:divsChild>
        <w:div w:id="362823529">
          <w:marLeft w:val="547"/>
          <w:marRight w:val="0"/>
          <w:marTop w:val="67"/>
          <w:marBottom w:val="0"/>
          <w:divBdr>
            <w:top w:val="none" w:sz="0" w:space="0" w:color="auto"/>
            <w:left w:val="none" w:sz="0" w:space="0" w:color="auto"/>
            <w:bottom w:val="none" w:sz="0" w:space="0" w:color="auto"/>
            <w:right w:val="none" w:sz="0" w:space="0" w:color="auto"/>
          </w:divBdr>
        </w:div>
        <w:div w:id="708337967">
          <w:marLeft w:val="547"/>
          <w:marRight w:val="0"/>
          <w:marTop w:val="67"/>
          <w:marBottom w:val="0"/>
          <w:divBdr>
            <w:top w:val="none" w:sz="0" w:space="0" w:color="auto"/>
            <w:left w:val="none" w:sz="0" w:space="0" w:color="auto"/>
            <w:bottom w:val="none" w:sz="0" w:space="0" w:color="auto"/>
            <w:right w:val="none" w:sz="0" w:space="0" w:color="auto"/>
          </w:divBdr>
        </w:div>
        <w:div w:id="1584798952">
          <w:marLeft w:val="547"/>
          <w:marRight w:val="0"/>
          <w:marTop w:val="67"/>
          <w:marBottom w:val="0"/>
          <w:divBdr>
            <w:top w:val="none" w:sz="0" w:space="0" w:color="auto"/>
            <w:left w:val="none" w:sz="0" w:space="0" w:color="auto"/>
            <w:bottom w:val="none" w:sz="0" w:space="0" w:color="auto"/>
            <w:right w:val="none" w:sz="0" w:space="0" w:color="auto"/>
          </w:divBdr>
        </w:div>
        <w:div w:id="2049407210">
          <w:marLeft w:val="547"/>
          <w:marRight w:val="0"/>
          <w:marTop w:val="67"/>
          <w:marBottom w:val="0"/>
          <w:divBdr>
            <w:top w:val="none" w:sz="0" w:space="0" w:color="auto"/>
            <w:left w:val="none" w:sz="0" w:space="0" w:color="auto"/>
            <w:bottom w:val="none" w:sz="0" w:space="0" w:color="auto"/>
            <w:right w:val="none" w:sz="0" w:space="0" w:color="auto"/>
          </w:divBdr>
        </w:div>
        <w:div w:id="1199389156">
          <w:marLeft w:val="547"/>
          <w:marRight w:val="0"/>
          <w:marTop w:val="67"/>
          <w:marBottom w:val="0"/>
          <w:divBdr>
            <w:top w:val="none" w:sz="0" w:space="0" w:color="auto"/>
            <w:left w:val="none" w:sz="0" w:space="0" w:color="auto"/>
            <w:bottom w:val="none" w:sz="0" w:space="0" w:color="auto"/>
            <w:right w:val="none" w:sz="0" w:space="0" w:color="auto"/>
          </w:divBdr>
        </w:div>
        <w:div w:id="1797790938">
          <w:marLeft w:val="547"/>
          <w:marRight w:val="0"/>
          <w:marTop w:val="67"/>
          <w:marBottom w:val="0"/>
          <w:divBdr>
            <w:top w:val="none" w:sz="0" w:space="0" w:color="auto"/>
            <w:left w:val="none" w:sz="0" w:space="0" w:color="auto"/>
            <w:bottom w:val="none" w:sz="0" w:space="0" w:color="auto"/>
            <w:right w:val="none" w:sz="0" w:space="0" w:color="auto"/>
          </w:divBdr>
        </w:div>
      </w:divsChild>
    </w:div>
    <w:div w:id="1752197728">
      <w:bodyDiv w:val="1"/>
      <w:marLeft w:val="0"/>
      <w:marRight w:val="0"/>
      <w:marTop w:val="0"/>
      <w:marBottom w:val="0"/>
      <w:divBdr>
        <w:top w:val="none" w:sz="0" w:space="0" w:color="auto"/>
        <w:left w:val="none" w:sz="0" w:space="0" w:color="auto"/>
        <w:bottom w:val="none" w:sz="0" w:space="0" w:color="auto"/>
        <w:right w:val="none" w:sz="0" w:space="0" w:color="auto"/>
      </w:divBdr>
    </w:div>
    <w:div w:id="1789156530">
      <w:bodyDiv w:val="1"/>
      <w:marLeft w:val="0"/>
      <w:marRight w:val="0"/>
      <w:marTop w:val="0"/>
      <w:marBottom w:val="0"/>
      <w:divBdr>
        <w:top w:val="none" w:sz="0" w:space="0" w:color="auto"/>
        <w:left w:val="none" w:sz="0" w:space="0" w:color="auto"/>
        <w:bottom w:val="none" w:sz="0" w:space="0" w:color="auto"/>
        <w:right w:val="none" w:sz="0" w:space="0" w:color="auto"/>
      </w:divBdr>
      <w:divsChild>
        <w:div w:id="94862018">
          <w:marLeft w:val="547"/>
          <w:marRight w:val="0"/>
          <w:marTop w:val="77"/>
          <w:marBottom w:val="0"/>
          <w:divBdr>
            <w:top w:val="none" w:sz="0" w:space="0" w:color="auto"/>
            <w:left w:val="none" w:sz="0" w:space="0" w:color="auto"/>
            <w:bottom w:val="none" w:sz="0" w:space="0" w:color="auto"/>
            <w:right w:val="none" w:sz="0" w:space="0" w:color="auto"/>
          </w:divBdr>
        </w:div>
        <w:div w:id="466048017">
          <w:marLeft w:val="547"/>
          <w:marRight w:val="0"/>
          <w:marTop w:val="77"/>
          <w:marBottom w:val="0"/>
          <w:divBdr>
            <w:top w:val="none" w:sz="0" w:space="0" w:color="auto"/>
            <w:left w:val="none" w:sz="0" w:space="0" w:color="auto"/>
            <w:bottom w:val="none" w:sz="0" w:space="0" w:color="auto"/>
            <w:right w:val="none" w:sz="0" w:space="0" w:color="auto"/>
          </w:divBdr>
        </w:div>
        <w:div w:id="1141970368">
          <w:marLeft w:val="547"/>
          <w:marRight w:val="0"/>
          <w:marTop w:val="77"/>
          <w:marBottom w:val="0"/>
          <w:divBdr>
            <w:top w:val="none" w:sz="0" w:space="0" w:color="auto"/>
            <w:left w:val="none" w:sz="0" w:space="0" w:color="auto"/>
            <w:bottom w:val="none" w:sz="0" w:space="0" w:color="auto"/>
            <w:right w:val="none" w:sz="0" w:space="0" w:color="auto"/>
          </w:divBdr>
        </w:div>
        <w:div w:id="30616034">
          <w:marLeft w:val="547"/>
          <w:marRight w:val="0"/>
          <w:marTop w:val="77"/>
          <w:marBottom w:val="0"/>
          <w:divBdr>
            <w:top w:val="none" w:sz="0" w:space="0" w:color="auto"/>
            <w:left w:val="none" w:sz="0" w:space="0" w:color="auto"/>
            <w:bottom w:val="none" w:sz="0" w:space="0" w:color="auto"/>
            <w:right w:val="none" w:sz="0" w:space="0" w:color="auto"/>
          </w:divBdr>
        </w:div>
        <w:div w:id="1430926460">
          <w:marLeft w:val="547"/>
          <w:marRight w:val="0"/>
          <w:marTop w:val="77"/>
          <w:marBottom w:val="0"/>
          <w:divBdr>
            <w:top w:val="none" w:sz="0" w:space="0" w:color="auto"/>
            <w:left w:val="none" w:sz="0" w:space="0" w:color="auto"/>
            <w:bottom w:val="none" w:sz="0" w:space="0" w:color="auto"/>
            <w:right w:val="none" w:sz="0" w:space="0" w:color="auto"/>
          </w:divBdr>
        </w:div>
        <w:div w:id="80836621">
          <w:marLeft w:val="547"/>
          <w:marRight w:val="0"/>
          <w:marTop w:val="77"/>
          <w:marBottom w:val="0"/>
          <w:divBdr>
            <w:top w:val="none" w:sz="0" w:space="0" w:color="auto"/>
            <w:left w:val="none" w:sz="0" w:space="0" w:color="auto"/>
            <w:bottom w:val="none" w:sz="0" w:space="0" w:color="auto"/>
            <w:right w:val="none" w:sz="0" w:space="0" w:color="auto"/>
          </w:divBdr>
        </w:div>
        <w:div w:id="1063866973">
          <w:marLeft w:val="547"/>
          <w:marRight w:val="0"/>
          <w:marTop w:val="77"/>
          <w:marBottom w:val="0"/>
          <w:divBdr>
            <w:top w:val="none" w:sz="0" w:space="0" w:color="auto"/>
            <w:left w:val="none" w:sz="0" w:space="0" w:color="auto"/>
            <w:bottom w:val="none" w:sz="0" w:space="0" w:color="auto"/>
            <w:right w:val="none" w:sz="0" w:space="0" w:color="auto"/>
          </w:divBdr>
        </w:div>
      </w:divsChild>
    </w:div>
    <w:div w:id="1844393338">
      <w:bodyDiv w:val="1"/>
      <w:marLeft w:val="0"/>
      <w:marRight w:val="0"/>
      <w:marTop w:val="0"/>
      <w:marBottom w:val="0"/>
      <w:divBdr>
        <w:top w:val="none" w:sz="0" w:space="0" w:color="auto"/>
        <w:left w:val="none" w:sz="0" w:space="0" w:color="auto"/>
        <w:bottom w:val="none" w:sz="0" w:space="0" w:color="auto"/>
        <w:right w:val="none" w:sz="0" w:space="0" w:color="auto"/>
      </w:divBdr>
      <w:divsChild>
        <w:div w:id="1455055760">
          <w:marLeft w:val="1166"/>
          <w:marRight w:val="0"/>
          <w:marTop w:val="115"/>
          <w:marBottom w:val="0"/>
          <w:divBdr>
            <w:top w:val="none" w:sz="0" w:space="0" w:color="auto"/>
            <w:left w:val="none" w:sz="0" w:space="0" w:color="auto"/>
            <w:bottom w:val="none" w:sz="0" w:space="0" w:color="auto"/>
            <w:right w:val="none" w:sz="0" w:space="0" w:color="auto"/>
          </w:divBdr>
        </w:div>
        <w:div w:id="627205008">
          <w:marLeft w:val="1166"/>
          <w:marRight w:val="0"/>
          <w:marTop w:val="115"/>
          <w:marBottom w:val="0"/>
          <w:divBdr>
            <w:top w:val="none" w:sz="0" w:space="0" w:color="auto"/>
            <w:left w:val="none" w:sz="0" w:space="0" w:color="auto"/>
            <w:bottom w:val="none" w:sz="0" w:space="0" w:color="auto"/>
            <w:right w:val="none" w:sz="0" w:space="0" w:color="auto"/>
          </w:divBdr>
        </w:div>
        <w:div w:id="590243626">
          <w:marLeft w:val="1166"/>
          <w:marRight w:val="0"/>
          <w:marTop w:val="115"/>
          <w:marBottom w:val="0"/>
          <w:divBdr>
            <w:top w:val="none" w:sz="0" w:space="0" w:color="auto"/>
            <w:left w:val="none" w:sz="0" w:space="0" w:color="auto"/>
            <w:bottom w:val="none" w:sz="0" w:space="0" w:color="auto"/>
            <w:right w:val="none" w:sz="0" w:space="0" w:color="auto"/>
          </w:divBdr>
        </w:div>
      </w:divsChild>
    </w:div>
    <w:div w:id="1912809044">
      <w:bodyDiv w:val="1"/>
      <w:marLeft w:val="0"/>
      <w:marRight w:val="0"/>
      <w:marTop w:val="0"/>
      <w:marBottom w:val="0"/>
      <w:divBdr>
        <w:top w:val="none" w:sz="0" w:space="0" w:color="auto"/>
        <w:left w:val="none" w:sz="0" w:space="0" w:color="auto"/>
        <w:bottom w:val="none" w:sz="0" w:space="0" w:color="auto"/>
        <w:right w:val="none" w:sz="0" w:space="0" w:color="auto"/>
      </w:divBdr>
    </w:div>
    <w:div w:id="1914578812">
      <w:bodyDiv w:val="1"/>
      <w:marLeft w:val="0"/>
      <w:marRight w:val="0"/>
      <w:marTop w:val="0"/>
      <w:marBottom w:val="0"/>
      <w:divBdr>
        <w:top w:val="none" w:sz="0" w:space="0" w:color="auto"/>
        <w:left w:val="none" w:sz="0" w:space="0" w:color="auto"/>
        <w:bottom w:val="none" w:sz="0" w:space="0" w:color="auto"/>
        <w:right w:val="none" w:sz="0" w:space="0" w:color="auto"/>
      </w:divBdr>
      <w:divsChild>
        <w:div w:id="2118403737">
          <w:marLeft w:val="274"/>
          <w:marRight w:val="0"/>
          <w:marTop w:val="0"/>
          <w:marBottom w:val="0"/>
          <w:divBdr>
            <w:top w:val="none" w:sz="0" w:space="0" w:color="auto"/>
            <w:left w:val="none" w:sz="0" w:space="0" w:color="auto"/>
            <w:bottom w:val="none" w:sz="0" w:space="0" w:color="auto"/>
            <w:right w:val="none" w:sz="0" w:space="0" w:color="auto"/>
          </w:divBdr>
        </w:div>
      </w:divsChild>
    </w:div>
    <w:div w:id="1937788390">
      <w:bodyDiv w:val="1"/>
      <w:marLeft w:val="0"/>
      <w:marRight w:val="0"/>
      <w:marTop w:val="0"/>
      <w:marBottom w:val="0"/>
      <w:divBdr>
        <w:top w:val="none" w:sz="0" w:space="0" w:color="auto"/>
        <w:left w:val="none" w:sz="0" w:space="0" w:color="auto"/>
        <w:bottom w:val="none" w:sz="0" w:space="0" w:color="auto"/>
        <w:right w:val="none" w:sz="0" w:space="0" w:color="auto"/>
      </w:divBdr>
      <w:divsChild>
        <w:div w:id="1724868101">
          <w:marLeft w:val="547"/>
          <w:marRight w:val="0"/>
          <w:marTop w:val="134"/>
          <w:marBottom w:val="0"/>
          <w:divBdr>
            <w:top w:val="none" w:sz="0" w:space="0" w:color="auto"/>
            <w:left w:val="none" w:sz="0" w:space="0" w:color="auto"/>
            <w:bottom w:val="none" w:sz="0" w:space="0" w:color="auto"/>
            <w:right w:val="none" w:sz="0" w:space="0" w:color="auto"/>
          </w:divBdr>
        </w:div>
      </w:divsChild>
    </w:div>
    <w:div w:id="1953315914">
      <w:bodyDiv w:val="1"/>
      <w:marLeft w:val="0"/>
      <w:marRight w:val="0"/>
      <w:marTop w:val="0"/>
      <w:marBottom w:val="0"/>
      <w:divBdr>
        <w:top w:val="none" w:sz="0" w:space="0" w:color="auto"/>
        <w:left w:val="none" w:sz="0" w:space="0" w:color="auto"/>
        <w:bottom w:val="none" w:sz="0" w:space="0" w:color="auto"/>
        <w:right w:val="none" w:sz="0" w:space="0" w:color="auto"/>
      </w:divBdr>
      <w:divsChild>
        <w:div w:id="1803839470">
          <w:marLeft w:val="547"/>
          <w:marRight w:val="0"/>
          <w:marTop w:val="0"/>
          <w:marBottom w:val="0"/>
          <w:divBdr>
            <w:top w:val="none" w:sz="0" w:space="0" w:color="auto"/>
            <w:left w:val="none" w:sz="0" w:space="0" w:color="auto"/>
            <w:bottom w:val="none" w:sz="0" w:space="0" w:color="auto"/>
            <w:right w:val="none" w:sz="0" w:space="0" w:color="auto"/>
          </w:divBdr>
        </w:div>
        <w:div w:id="1300960115">
          <w:marLeft w:val="547"/>
          <w:marRight w:val="0"/>
          <w:marTop w:val="0"/>
          <w:marBottom w:val="0"/>
          <w:divBdr>
            <w:top w:val="none" w:sz="0" w:space="0" w:color="auto"/>
            <w:left w:val="none" w:sz="0" w:space="0" w:color="auto"/>
            <w:bottom w:val="none" w:sz="0" w:space="0" w:color="auto"/>
            <w:right w:val="none" w:sz="0" w:space="0" w:color="auto"/>
          </w:divBdr>
        </w:div>
        <w:div w:id="1092245099">
          <w:marLeft w:val="547"/>
          <w:marRight w:val="0"/>
          <w:marTop w:val="0"/>
          <w:marBottom w:val="0"/>
          <w:divBdr>
            <w:top w:val="none" w:sz="0" w:space="0" w:color="auto"/>
            <w:left w:val="none" w:sz="0" w:space="0" w:color="auto"/>
            <w:bottom w:val="none" w:sz="0" w:space="0" w:color="auto"/>
            <w:right w:val="none" w:sz="0" w:space="0" w:color="auto"/>
          </w:divBdr>
        </w:div>
        <w:div w:id="1911690432">
          <w:marLeft w:val="547"/>
          <w:marRight w:val="0"/>
          <w:marTop w:val="0"/>
          <w:marBottom w:val="0"/>
          <w:divBdr>
            <w:top w:val="none" w:sz="0" w:space="0" w:color="auto"/>
            <w:left w:val="none" w:sz="0" w:space="0" w:color="auto"/>
            <w:bottom w:val="none" w:sz="0" w:space="0" w:color="auto"/>
            <w:right w:val="none" w:sz="0" w:space="0" w:color="auto"/>
          </w:divBdr>
        </w:div>
        <w:div w:id="131606520">
          <w:marLeft w:val="547"/>
          <w:marRight w:val="0"/>
          <w:marTop w:val="0"/>
          <w:marBottom w:val="0"/>
          <w:divBdr>
            <w:top w:val="none" w:sz="0" w:space="0" w:color="auto"/>
            <w:left w:val="none" w:sz="0" w:space="0" w:color="auto"/>
            <w:bottom w:val="none" w:sz="0" w:space="0" w:color="auto"/>
            <w:right w:val="none" w:sz="0" w:space="0" w:color="auto"/>
          </w:divBdr>
        </w:div>
        <w:div w:id="1766415426">
          <w:marLeft w:val="547"/>
          <w:marRight w:val="0"/>
          <w:marTop w:val="77"/>
          <w:marBottom w:val="0"/>
          <w:divBdr>
            <w:top w:val="none" w:sz="0" w:space="0" w:color="auto"/>
            <w:left w:val="none" w:sz="0" w:space="0" w:color="auto"/>
            <w:bottom w:val="none" w:sz="0" w:space="0" w:color="auto"/>
            <w:right w:val="none" w:sz="0" w:space="0" w:color="auto"/>
          </w:divBdr>
        </w:div>
      </w:divsChild>
    </w:div>
    <w:div w:id="2045862154">
      <w:bodyDiv w:val="1"/>
      <w:marLeft w:val="0"/>
      <w:marRight w:val="0"/>
      <w:marTop w:val="0"/>
      <w:marBottom w:val="0"/>
      <w:divBdr>
        <w:top w:val="none" w:sz="0" w:space="0" w:color="auto"/>
        <w:left w:val="none" w:sz="0" w:space="0" w:color="auto"/>
        <w:bottom w:val="none" w:sz="0" w:space="0" w:color="auto"/>
        <w:right w:val="none" w:sz="0" w:space="0" w:color="auto"/>
      </w:divBdr>
      <w:divsChild>
        <w:div w:id="1641108312">
          <w:marLeft w:val="0"/>
          <w:marRight w:val="0"/>
          <w:marTop w:val="0"/>
          <w:marBottom w:val="0"/>
          <w:divBdr>
            <w:top w:val="none" w:sz="0" w:space="0" w:color="auto"/>
            <w:left w:val="none" w:sz="0" w:space="0" w:color="auto"/>
            <w:bottom w:val="none" w:sz="0" w:space="0" w:color="auto"/>
            <w:right w:val="none" w:sz="0" w:space="0" w:color="auto"/>
          </w:divBdr>
          <w:divsChild>
            <w:div w:id="300237000">
              <w:marLeft w:val="0"/>
              <w:marRight w:val="0"/>
              <w:marTop w:val="0"/>
              <w:marBottom w:val="0"/>
              <w:divBdr>
                <w:top w:val="none" w:sz="0" w:space="0" w:color="auto"/>
                <w:left w:val="none" w:sz="0" w:space="0" w:color="auto"/>
                <w:bottom w:val="none" w:sz="0" w:space="0" w:color="auto"/>
                <w:right w:val="none" w:sz="0" w:space="0" w:color="auto"/>
              </w:divBdr>
              <w:divsChild>
                <w:div w:id="1994678513">
                  <w:marLeft w:val="0"/>
                  <w:marRight w:val="0"/>
                  <w:marTop w:val="0"/>
                  <w:marBottom w:val="0"/>
                  <w:divBdr>
                    <w:top w:val="none" w:sz="0" w:space="0" w:color="auto"/>
                    <w:left w:val="none" w:sz="0" w:space="0" w:color="auto"/>
                    <w:bottom w:val="none" w:sz="0" w:space="0" w:color="auto"/>
                    <w:right w:val="none" w:sz="0" w:space="0" w:color="auto"/>
                  </w:divBdr>
                  <w:divsChild>
                    <w:div w:id="593246125">
                      <w:marLeft w:val="0"/>
                      <w:marRight w:val="0"/>
                      <w:marTop w:val="0"/>
                      <w:marBottom w:val="0"/>
                      <w:divBdr>
                        <w:top w:val="none" w:sz="0" w:space="0" w:color="auto"/>
                        <w:left w:val="none" w:sz="0" w:space="0" w:color="auto"/>
                        <w:bottom w:val="none" w:sz="0" w:space="0" w:color="auto"/>
                        <w:right w:val="none" w:sz="0" w:space="0" w:color="auto"/>
                      </w:divBdr>
                      <w:divsChild>
                        <w:div w:id="661466560">
                          <w:marLeft w:val="0"/>
                          <w:marRight w:val="0"/>
                          <w:marTop w:val="0"/>
                          <w:marBottom w:val="0"/>
                          <w:divBdr>
                            <w:top w:val="none" w:sz="0" w:space="0" w:color="auto"/>
                            <w:left w:val="none" w:sz="0" w:space="0" w:color="auto"/>
                            <w:bottom w:val="none" w:sz="0" w:space="0" w:color="auto"/>
                            <w:right w:val="none" w:sz="0" w:space="0" w:color="auto"/>
                          </w:divBdr>
                          <w:divsChild>
                            <w:div w:id="1399596509">
                              <w:marLeft w:val="0"/>
                              <w:marRight w:val="0"/>
                              <w:marTop w:val="0"/>
                              <w:marBottom w:val="0"/>
                              <w:divBdr>
                                <w:top w:val="none" w:sz="0" w:space="0" w:color="auto"/>
                                <w:left w:val="none" w:sz="0" w:space="0" w:color="auto"/>
                                <w:bottom w:val="none" w:sz="0" w:space="0" w:color="auto"/>
                                <w:right w:val="none" w:sz="0" w:space="0" w:color="auto"/>
                              </w:divBdr>
                              <w:divsChild>
                                <w:div w:id="146559244">
                                  <w:marLeft w:val="0"/>
                                  <w:marRight w:val="0"/>
                                  <w:marTop w:val="0"/>
                                  <w:marBottom w:val="0"/>
                                  <w:divBdr>
                                    <w:top w:val="none" w:sz="0" w:space="0" w:color="auto"/>
                                    <w:left w:val="none" w:sz="0" w:space="0" w:color="auto"/>
                                    <w:bottom w:val="none" w:sz="0" w:space="0" w:color="auto"/>
                                    <w:right w:val="none" w:sz="0" w:space="0" w:color="auto"/>
                                  </w:divBdr>
                                  <w:divsChild>
                                    <w:div w:id="1366639204">
                                      <w:marLeft w:val="0"/>
                                      <w:marRight w:val="0"/>
                                      <w:marTop w:val="0"/>
                                      <w:marBottom w:val="0"/>
                                      <w:divBdr>
                                        <w:top w:val="none" w:sz="0" w:space="0" w:color="auto"/>
                                        <w:left w:val="none" w:sz="0" w:space="0" w:color="auto"/>
                                        <w:bottom w:val="none" w:sz="0" w:space="0" w:color="auto"/>
                                        <w:right w:val="none" w:sz="0" w:space="0" w:color="auto"/>
                                      </w:divBdr>
                                      <w:divsChild>
                                        <w:div w:id="2098747103">
                                          <w:marLeft w:val="0"/>
                                          <w:marRight w:val="0"/>
                                          <w:marTop w:val="0"/>
                                          <w:marBottom w:val="0"/>
                                          <w:divBdr>
                                            <w:top w:val="none" w:sz="0" w:space="0" w:color="auto"/>
                                            <w:left w:val="none" w:sz="0" w:space="0" w:color="auto"/>
                                            <w:bottom w:val="none" w:sz="0" w:space="0" w:color="auto"/>
                                            <w:right w:val="none" w:sz="0" w:space="0" w:color="auto"/>
                                          </w:divBdr>
                                        </w:div>
                                        <w:div w:id="1616909349">
                                          <w:marLeft w:val="0"/>
                                          <w:marRight w:val="0"/>
                                          <w:marTop w:val="0"/>
                                          <w:marBottom w:val="0"/>
                                          <w:divBdr>
                                            <w:top w:val="none" w:sz="0" w:space="0" w:color="auto"/>
                                            <w:left w:val="none" w:sz="0" w:space="0" w:color="auto"/>
                                            <w:bottom w:val="none" w:sz="0" w:space="0" w:color="auto"/>
                                            <w:right w:val="none" w:sz="0" w:space="0" w:color="auto"/>
                                          </w:divBdr>
                                          <w:divsChild>
                                            <w:div w:id="1442721027">
                                              <w:marLeft w:val="132"/>
                                              <w:marRight w:val="0"/>
                                              <w:marTop w:val="0"/>
                                              <w:marBottom w:val="132"/>
                                              <w:divBdr>
                                                <w:top w:val="single" w:sz="4" w:space="7" w:color="990000"/>
                                                <w:left w:val="single" w:sz="4" w:space="7" w:color="990000"/>
                                                <w:bottom w:val="single" w:sz="4" w:space="7" w:color="990000"/>
                                                <w:right w:val="single" w:sz="4" w:space="7" w:color="990000"/>
                                              </w:divBdr>
                                            </w:div>
                                          </w:divsChild>
                                        </w:div>
                                      </w:divsChild>
                                    </w:div>
                                  </w:divsChild>
                                </w:div>
                              </w:divsChild>
                            </w:div>
                          </w:divsChild>
                        </w:div>
                      </w:divsChild>
                    </w:div>
                  </w:divsChild>
                </w:div>
              </w:divsChild>
            </w:div>
          </w:divsChild>
        </w:div>
      </w:divsChild>
    </w:div>
    <w:div w:id="204925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law.cornell.edu/cfr/text/5/part-536." TargetMode="Externa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law.cornell.edu/cfr/text/5/part-535"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AcqDemo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AA726E-E31B-47FB-AFBF-41A2C2249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55</Pages>
  <Words>5702</Words>
  <Characters>32504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Business Rules Development</vt:lpstr>
    </vt:vector>
  </TitlesOfParts>
  <Company>Client First Consulting</Company>
  <LinksUpToDate>false</LinksUpToDate>
  <CharactersWithSpaces>38130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Rules Development</dc:title>
  <dc:subject>Employee Orientation Participant Guide</dc:subject>
  <dc:creator>Karen</dc:creator>
  <cp:lastModifiedBy>Tom Stajmiger</cp:lastModifiedBy>
  <cp:revision>25</cp:revision>
  <cp:lastPrinted>2018-04-03T16:31:00Z</cp:lastPrinted>
  <dcterms:created xsi:type="dcterms:W3CDTF">2018-04-02T00:27:00Z</dcterms:created>
  <dcterms:modified xsi:type="dcterms:W3CDTF">2018-04-03T16:52:00Z</dcterms:modified>
</cp:coreProperties>
</file>